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9F" w:rsidRDefault="00E15A9F" w:rsidP="00CF4FE3">
      <w:pPr>
        <w:pStyle w:val="1"/>
        <w:spacing w:beforeLines="0" w:before="0" w:afterLines="0" w:after="0"/>
      </w:pPr>
      <w:r w:rsidRPr="00E15A9F">
        <w:rPr>
          <w:rFonts w:hint="eastAsia"/>
        </w:rPr>
        <w:t>天风证券股份有限公司</w:t>
      </w:r>
    </w:p>
    <w:p w:rsidR="00E15A9F" w:rsidRDefault="00E15A9F" w:rsidP="00CF4FE3">
      <w:pPr>
        <w:pStyle w:val="1"/>
        <w:spacing w:beforeLines="0" w:before="0" w:afterLines="0" w:after="0"/>
      </w:pPr>
      <w:r w:rsidRPr="00E15A9F">
        <w:rPr>
          <w:rFonts w:hint="eastAsia"/>
        </w:rPr>
        <w:t>关于渤海水业股份有限公司</w:t>
      </w:r>
    </w:p>
    <w:p w:rsidR="00E15A9F" w:rsidRDefault="00E15A9F" w:rsidP="00CF4FE3">
      <w:pPr>
        <w:pStyle w:val="1"/>
        <w:spacing w:beforeLines="0" w:before="0" w:afterLines="0" w:after="0"/>
      </w:pPr>
      <w:r w:rsidRPr="00E15A9F">
        <w:rPr>
          <w:rFonts w:hint="eastAsia"/>
        </w:rPr>
        <w:t>2018</w:t>
      </w:r>
      <w:r w:rsidRPr="00E15A9F">
        <w:rPr>
          <w:rFonts w:hint="eastAsia"/>
        </w:rPr>
        <w:t>年度募集资金存放与使用情况的专项核查意见</w:t>
      </w:r>
    </w:p>
    <w:p w:rsidR="00E15A9F" w:rsidRDefault="00E15A9F" w:rsidP="00CF4FE3">
      <w:pPr>
        <w:spacing w:beforeLines="0" w:before="0" w:afterLines="0" w:after="0"/>
        <w:ind w:firstLine="480"/>
      </w:pPr>
      <w:r w:rsidRPr="00E15A9F">
        <w:rPr>
          <w:rFonts w:hint="eastAsia"/>
        </w:rPr>
        <w:t>天风证券股份有限公司（以下简称“天风证券”或“保荐机构”）作为渤海水业股份有限公司（以下简称“渤海股份”或“上市公司”）</w:t>
      </w:r>
      <w:r w:rsidRPr="00E15A9F">
        <w:rPr>
          <w:rFonts w:hint="eastAsia"/>
        </w:rPr>
        <w:t>2016</w:t>
      </w:r>
      <w:r w:rsidRPr="00E15A9F">
        <w:rPr>
          <w:rFonts w:hint="eastAsia"/>
        </w:rPr>
        <w:t>年度非公开发行股票的保荐机构，根据《证券发行上市保荐业务管理办法》、《上市公司监管指引第</w:t>
      </w:r>
      <w:r w:rsidRPr="00E15A9F">
        <w:rPr>
          <w:rFonts w:hint="eastAsia"/>
        </w:rPr>
        <w:t>2</w:t>
      </w:r>
      <w:r w:rsidRPr="00E15A9F">
        <w:rPr>
          <w:rFonts w:hint="eastAsia"/>
        </w:rPr>
        <w:t>号——上市公司募集资金管理和使用的监管要求》、《深圳证券交易所股票上市规则》、《深圳证券交易所上市公司保荐工作指引》、《深圳证券交易所主板上市公司规范运作指引》等相关法律法规和规范性文件的要求，对渤海股份</w:t>
      </w:r>
      <w:r w:rsidRPr="00E15A9F">
        <w:rPr>
          <w:rFonts w:hint="eastAsia"/>
        </w:rPr>
        <w:t>201</w:t>
      </w:r>
      <w:r>
        <w:t>8</w:t>
      </w:r>
      <w:r w:rsidRPr="00E15A9F">
        <w:rPr>
          <w:rFonts w:hint="eastAsia"/>
        </w:rPr>
        <w:t>年度募集资金使用情况进行了核查，具体情况如下：</w:t>
      </w:r>
    </w:p>
    <w:p w:rsidR="00E15A9F" w:rsidRPr="00E91716" w:rsidRDefault="00E15A9F" w:rsidP="00CF4FE3">
      <w:pPr>
        <w:pStyle w:val="2"/>
        <w:spacing w:before="156" w:after="156"/>
        <w:ind w:firstLine="562"/>
      </w:pPr>
      <w:r w:rsidRPr="00E91716">
        <w:t>一、募集资金基本情况</w:t>
      </w:r>
    </w:p>
    <w:p w:rsidR="00E15A9F" w:rsidRPr="00E91716" w:rsidRDefault="00E15A9F" w:rsidP="00CF4FE3">
      <w:pPr>
        <w:pStyle w:val="3"/>
        <w:spacing w:before="93" w:after="93"/>
        <w:ind w:firstLine="562"/>
      </w:pPr>
      <w:r w:rsidRPr="00E91716">
        <w:t>（一）实际募集资金金额、资金到位情况</w:t>
      </w:r>
    </w:p>
    <w:p w:rsidR="00E15A9F" w:rsidRPr="00E91716" w:rsidRDefault="00E15A9F" w:rsidP="00CF4FE3">
      <w:pPr>
        <w:spacing w:beforeLines="0" w:before="0" w:afterLines="0" w:after="0"/>
        <w:ind w:firstLine="480"/>
        <w:rPr>
          <w:szCs w:val="28"/>
        </w:rPr>
      </w:pPr>
      <w:r w:rsidRPr="00E91716">
        <w:rPr>
          <w:szCs w:val="28"/>
        </w:rPr>
        <w:t>2016</w:t>
      </w:r>
      <w:r w:rsidRPr="00E91716">
        <w:rPr>
          <w:szCs w:val="28"/>
        </w:rPr>
        <w:t>年</w:t>
      </w:r>
      <w:r w:rsidRPr="00E91716">
        <w:rPr>
          <w:szCs w:val="28"/>
        </w:rPr>
        <w:t>11</w:t>
      </w:r>
      <w:r w:rsidRPr="00E91716">
        <w:rPr>
          <w:szCs w:val="28"/>
        </w:rPr>
        <w:t>月，中国证券监督管理委员会</w:t>
      </w:r>
      <w:proofErr w:type="gramStart"/>
      <w:r w:rsidRPr="00E91716">
        <w:rPr>
          <w:szCs w:val="28"/>
        </w:rPr>
        <w:t>出具证</w:t>
      </w:r>
      <w:proofErr w:type="gramEnd"/>
      <w:r w:rsidRPr="00E91716">
        <w:rPr>
          <w:szCs w:val="28"/>
        </w:rPr>
        <w:t>监许可</w:t>
      </w:r>
      <w:r w:rsidRPr="00E91716">
        <w:rPr>
          <w:szCs w:val="28"/>
        </w:rPr>
        <w:t>[2016]2583</w:t>
      </w:r>
      <w:r w:rsidRPr="00E91716">
        <w:rPr>
          <w:szCs w:val="28"/>
        </w:rPr>
        <w:t>号文《关于核准渤海水业股份有限公司非公开发行股票的批复》核准公司非公开发行不超过</w:t>
      </w:r>
      <w:r w:rsidRPr="00E91716">
        <w:rPr>
          <w:szCs w:val="28"/>
        </w:rPr>
        <w:t>56,907,934</w:t>
      </w:r>
      <w:r w:rsidRPr="00E91716">
        <w:rPr>
          <w:szCs w:val="28"/>
        </w:rPr>
        <w:t>股新股，其中股份认购</w:t>
      </w:r>
      <w:r w:rsidRPr="00E91716">
        <w:rPr>
          <w:szCs w:val="28"/>
        </w:rPr>
        <w:t>20,760,316</w:t>
      </w:r>
      <w:r w:rsidRPr="00E91716">
        <w:rPr>
          <w:szCs w:val="28"/>
        </w:rPr>
        <w:t>股，现金认购</w:t>
      </w:r>
      <w:r w:rsidRPr="00E91716">
        <w:rPr>
          <w:szCs w:val="28"/>
        </w:rPr>
        <w:t>36,147,618</w:t>
      </w:r>
      <w:r w:rsidRPr="00E91716">
        <w:rPr>
          <w:szCs w:val="28"/>
        </w:rPr>
        <w:t>股。每股面值人民币</w:t>
      </w:r>
      <w:r w:rsidRPr="00E91716">
        <w:rPr>
          <w:szCs w:val="28"/>
        </w:rPr>
        <w:t>1</w:t>
      </w:r>
      <w:r w:rsidRPr="00E91716">
        <w:rPr>
          <w:szCs w:val="28"/>
        </w:rPr>
        <w:t>元，每股发行价格为人民币</w:t>
      </w:r>
      <w:r w:rsidRPr="00E91716">
        <w:rPr>
          <w:szCs w:val="28"/>
        </w:rPr>
        <w:t>15.75</w:t>
      </w:r>
      <w:r w:rsidRPr="00E91716">
        <w:rPr>
          <w:szCs w:val="28"/>
        </w:rPr>
        <w:t>元。公司募集资金总额</w:t>
      </w:r>
      <w:r w:rsidRPr="00E91716">
        <w:rPr>
          <w:szCs w:val="28"/>
        </w:rPr>
        <w:t>896,299,968.75</w:t>
      </w:r>
      <w:r w:rsidRPr="00E91716">
        <w:rPr>
          <w:szCs w:val="28"/>
        </w:rPr>
        <w:t>元，其中股权认购部分募集资金总额</w:t>
      </w:r>
      <w:r w:rsidRPr="00E91716">
        <w:rPr>
          <w:szCs w:val="28"/>
        </w:rPr>
        <w:t>326,975,000.00</w:t>
      </w:r>
      <w:r w:rsidRPr="00E91716">
        <w:rPr>
          <w:szCs w:val="28"/>
        </w:rPr>
        <w:t>元，现金认购部分募集资金总额</w:t>
      </w:r>
      <w:r w:rsidRPr="00E91716">
        <w:rPr>
          <w:szCs w:val="28"/>
        </w:rPr>
        <w:t>569,324,968.75</w:t>
      </w:r>
      <w:r w:rsidRPr="00E91716">
        <w:rPr>
          <w:szCs w:val="28"/>
        </w:rPr>
        <w:t>元，扣除承销费用人民币</w:t>
      </w:r>
      <w:r w:rsidRPr="00E91716">
        <w:rPr>
          <w:szCs w:val="28"/>
        </w:rPr>
        <w:t>17,718,568.75</w:t>
      </w:r>
      <w:r w:rsidRPr="00E91716">
        <w:rPr>
          <w:szCs w:val="28"/>
        </w:rPr>
        <w:t>元，实际募集资金净额为人民币</w:t>
      </w:r>
      <w:r w:rsidRPr="00E91716">
        <w:rPr>
          <w:szCs w:val="28"/>
        </w:rPr>
        <w:t>551,606,400.00</w:t>
      </w:r>
      <w:r w:rsidRPr="00E91716">
        <w:rPr>
          <w:szCs w:val="28"/>
        </w:rPr>
        <w:t>元。该资金已于</w:t>
      </w:r>
      <w:r w:rsidRPr="00E91716">
        <w:rPr>
          <w:szCs w:val="28"/>
        </w:rPr>
        <w:t>2016</w:t>
      </w:r>
      <w:r w:rsidRPr="00E91716">
        <w:rPr>
          <w:szCs w:val="28"/>
        </w:rPr>
        <w:t>年</w:t>
      </w:r>
      <w:r w:rsidRPr="00E91716">
        <w:rPr>
          <w:szCs w:val="28"/>
        </w:rPr>
        <w:t>12</w:t>
      </w:r>
      <w:r w:rsidRPr="00E91716">
        <w:rPr>
          <w:szCs w:val="28"/>
        </w:rPr>
        <w:t>月</w:t>
      </w:r>
      <w:r w:rsidRPr="00E91716">
        <w:rPr>
          <w:szCs w:val="28"/>
        </w:rPr>
        <w:t>26</w:t>
      </w:r>
      <w:r w:rsidRPr="00E91716">
        <w:rPr>
          <w:szCs w:val="28"/>
        </w:rPr>
        <w:t>日存入公司在天津银行红鑫支行开立的募集资金专户（账号</w:t>
      </w:r>
      <w:r w:rsidRPr="00E91716">
        <w:rPr>
          <w:szCs w:val="28"/>
        </w:rPr>
        <w:t>206701201080397409</w:t>
      </w:r>
      <w:r w:rsidRPr="00E91716">
        <w:rPr>
          <w:szCs w:val="28"/>
        </w:rPr>
        <w:t>）。上述非公开发行募集资金已经中审华会计师事务所（特殊普通合伙）审验，并出具</w:t>
      </w:r>
      <w:r w:rsidRPr="00E91716">
        <w:rPr>
          <w:szCs w:val="28"/>
        </w:rPr>
        <w:t xml:space="preserve"> CAC</w:t>
      </w:r>
      <w:r w:rsidRPr="00E91716">
        <w:rPr>
          <w:szCs w:val="28"/>
        </w:rPr>
        <w:t>证验字</w:t>
      </w:r>
      <w:r w:rsidRPr="00E91716">
        <w:rPr>
          <w:szCs w:val="28"/>
        </w:rPr>
        <w:t>[2016]0134</w:t>
      </w:r>
      <w:r w:rsidRPr="00E91716">
        <w:rPr>
          <w:szCs w:val="28"/>
        </w:rPr>
        <w:t>号、</w:t>
      </w:r>
      <w:r w:rsidRPr="00E91716">
        <w:rPr>
          <w:szCs w:val="28"/>
        </w:rPr>
        <w:t>CAC</w:t>
      </w:r>
      <w:r w:rsidRPr="00E91716">
        <w:rPr>
          <w:szCs w:val="28"/>
        </w:rPr>
        <w:t>证验字</w:t>
      </w:r>
      <w:r w:rsidRPr="00E91716">
        <w:rPr>
          <w:szCs w:val="28"/>
        </w:rPr>
        <w:t>[2016]0137</w:t>
      </w:r>
      <w:r w:rsidRPr="00E91716">
        <w:rPr>
          <w:szCs w:val="28"/>
        </w:rPr>
        <w:t>号和</w:t>
      </w:r>
      <w:r w:rsidRPr="00E91716">
        <w:rPr>
          <w:szCs w:val="28"/>
        </w:rPr>
        <w:t>CAC</w:t>
      </w:r>
      <w:r w:rsidRPr="00E91716">
        <w:rPr>
          <w:szCs w:val="28"/>
        </w:rPr>
        <w:t>证验字</w:t>
      </w:r>
      <w:r w:rsidRPr="00E91716">
        <w:rPr>
          <w:szCs w:val="28"/>
        </w:rPr>
        <w:t>[2016]0139</w:t>
      </w:r>
      <w:r w:rsidRPr="00E91716">
        <w:rPr>
          <w:szCs w:val="28"/>
        </w:rPr>
        <w:t>号《验资报告》验证。</w:t>
      </w:r>
    </w:p>
    <w:p w:rsidR="00E15A9F" w:rsidRPr="00E91716" w:rsidRDefault="00E15A9F" w:rsidP="00CF4FE3">
      <w:pPr>
        <w:pStyle w:val="3"/>
        <w:spacing w:before="93" w:after="93"/>
        <w:ind w:firstLine="562"/>
      </w:pPr>
      <w:r w:rsidRPr="00E91716">
        <w:t>（二）募集资金使用金额及报告期末余额</w:t>
      </w:r>
    </w:p>
    <w:p w:rsidR="00E15A9F" w:rsidRPr="00E91716" w:rsidRDefault="00E15A9F" w:rsidP="00CF4FE3">
      <w:pPr>
        <w:spacing w:beforeLines="0" w:before="0" w:afterLines="0" w:after="0"/>
        <w:ind w:firstLine="480"/>
        <w:rPr>
          <w:szCs w:val="28"/>
        </w:rPr>
      </w:pPr>
      <w:r w:rsidRPr="00E91716">
        <w:rPr>
          <w:szCs w:val="28"/>
        </w:rPr>
        <w:t>根据</w:t>
      </w:r>
      <w:r w:rsidRPr="00E91716">
        <w:rPr>
          <w:szCs w:val="28"/>
        </w:rPr>
        <w:t>2016</w:t>
      </w:r>
      <w:r w:rsidRPr="00E91716">
        <w:rPr>
          <w:szCs w:val="28"/>
        </w:rPr>
        <w:t>年</w:t>
      </w:r>
      <w:r w:rsidRPr="00E91716">
        <w:rPr>
          <w:szCs w:val="28"/>
        </w:rPr>
        <w:t>4</w:t>
      </w:r>
      <w:r w:rsidRPr="00E91716">
        <w:rPr>
          <w:szCs w:val="28"/>
        </w:rPr>
        <w:t>月</w:t>
      </w:r>
      <w:r w:rsidRPr="00E91716">
        <w:rPr>
          <w:szCs w:val="28"/>
        </w:rPr>
        <w:t>26</w:t>
      </w:r>
      <w:r w:rsidRPr="00E91716">
        <w:rPr>
          <w:szCs w:val="28"/>
        </w:rPr>
        <w:t>日召开的公司第五届董事会第二十二次会议以及</w:t>
      </w:r>
      <w:r w:rsidRPr="00E91716">
        <w:rPr>
          <w:szCs w:val="28"/>
        </w:rPr>
        <w:t>2016</w:t>
      </w:r>
      <w:r w:rsidRPr="00E91716">
        <w:rPr>
          <w:szCs w:val="28"/>
        </w:rPr>
        <w:lastRenderedPageBreak/>
        <w:t>年</w:t>
      </w:r>
      <w:r w:rsidRPr="00E91716">
        <w:rPr>
          <w:szCs w:val="28"/>
        </w:rPr>
        <w:t>5</w:t>
      </w:r>
      <w:r w:rsidRPr="00E91716">
        <w:rPr>
          <w:szCs w:val="28"/>
        </w:rPr>
        <w:t>月</w:t>
      </w:r>
      <w:r w:rsidRPr="00E91716">
        <w:rPr>
          <w:szCs w:val="28"/>
        </w:rPr>
        <w:t>12</w:t>
      </w:r>
      <w:r w:rsidRPr="00E91716">
        <w:rPr>
          <w:szCs w:val="28"/>
        </w:rPr>
        <w:t>日召开的公司</w:t>
      </w:r>
      <w:r w:rsidRPr="00E91716">
        <w:rPr>
          <w:szCs w:val="28"/>
        </w:rPr>
        <w:t>2016</w:t>
      </w:r>
      <w:r w:rsidRPr="00E91716">
        <w:rPr>
          <w:szCs w:val="28"/>
        </w:rPr>
        <w:t>年第一次临时股东大会决定，本次募集资金将用于</w:t>
      </w:r>
      <w:proofErr w:type="gramStart"/>
      <w:r>
        <w:rPr>
          <w:rFonts w:hint="eastAsia"/>
          <w:szCs w:val="28"/>
        </w:rPr>
        <w:t>“</w:t>
      </w:r>
      <w:proofErr w:type="gramEnd"/>
      <w:r w:rsidRPr="00E91716">
        <w:rPr>
          <w:szCs w:val="28"/>
        </w:rPr>
        <w:t>收购嘉诚环保工程有限公司（以下简称</w:t>
      </w:r>
      <w:r>
        <w:rPr>
          <w:rFonts w:hint="eastAsia"/>
          <w:szCs w:val="28"/>
        </w:rPr>
        <w:t>“</w:t>
      </w:r>
      <w:r w:rsidRPr="00E91716">
        <w:rPr>
          <w:szCs w:val="28"/>
        </w:rPr>
        <w:t>嘉诚环保</w:t>
      </w:r>
      <w:r>
        <w:rPr>
          <w:rFonts w:hint="eastAsia"/>
          <w:szCs w:val="28"/>
        </w:rPr>
        <w:t>”</w:t>
      </w:r>
      <w:r w:rsidRPr="00E91716">
        <w:rPr>
          <w:szCs w:val="28"/>
        </w:rPr>
        <w:t>）</w:t>
      </w:r>
      <w:r w:rsidRPr="00E91716">
        <w:rPr>
          <w:szCs w:val="28"/>
        </w:rPr>
        <w:t>55%</w:t>
      </w:r>
      <w:r w:rsidRPr="00E91716">
        <w:rPr>
          <w:szCs w:val="28"/>
        </w:rPr>
        <w:t>股权</w:t>
      </w:r>
      <w:proofErr w:type="gramStart"/>
      <w:r>
        <w:rPr>
          <w:rFonts w:hint="eastAsia"/>
          <w:szCs w:val="28"/>
        </w:rPr>
        <w:t>”</w:t>
      </w:r>
      <w:proofErr w:type="gramEnd"/>
      <w:r w:rsidRPr="00E91716">
        <w:rPr>
          <w:szCs w:val="28"/>
        </w:rPr>
        <w:t>和</w:t>
      </w:r>
      <w:r>
        <w:rPr>
          <w:rFonts w:hint="eastAsia"/>
          <w:szCs w:val="28"/>
        </w:rPr>
        <w:t>“</w:t>
      </w:r>
      <w:r w:rsidRPr="00E91716">
        <w:rPr>
          <w:szCs w:val="28"/>
        </w:rPr>
        <w:t>偿还滨海水业</w:t>
      </w:r>
      <w:r w:rsidRPr="00E91716">
        <w:rPr>
          <w:szCs w:val="28"/>
        </w:rPr>
        <w:t>9880</w:t>
      </w:r>
      <w:r w:rsidRPr="00E91716">
        <w:rPr>
          <w:szCs w:val="28"/>
        </w:rPr>
        <w:t>万元银行贷款</w:t>
      </w:r>
      <w:r>
        <w:rPr>
          <w:rFonts w:hint="eastAsia"/>
          <w:szCs w:val="28"/>
        </w:rPr>
        <w:t>”</w:t>
      </w:r>
      <w:r w:rsidRPr="00E91716">
        <w:rPr>
          <w:szCs w:val="28"/>
        </w:rPr>
        <w:t>，相关内容已在深交所公告。</w:t>
      </w:r>
    </w:p>
    <w:p w:rsidR="00E15A9F" w:rsidRPr="00E91716" w:rsidRDefault="00E15A9F" w:rsidP="00CF4FE3">
      <w:pPr>
        <w:spacing w:beforeLines="0" w:before="0" w:afterLines="0" w:after="0"/>
        <w:ind w:firstLine="480"/>
      </w:pPr>
      <w:r w:rsidRPr="00E91716">
        <w:t>根据公司本次非公开发行股票的实施方案，</w:t>
      </w:r>
      <w:r w:rsidRPr="00E91716">
        <w:t>2016</w:t>
      </w:r>
      <w:r w:rsidRPr="00E91716">
        <w:t>年</w:t>
      </w:r>
      <w:r w:rsidRPr="00E91716">
        <w:t>12</w:t>
      </w:r>
      <w:r w:rsidRPr="00E91716">
        <w:t>月</w:t>
      </w:r>
      <w:r w:rsidRPr="00E91716">
        <w:t>30</w:t>
      </w:r>
      <w:r w:rsidRPr="00E91716">
        <w:t>日，由公司募集资金专户</w:t>
      </w:r>
      <w:r w:rsidRPr="00E91716">
        <w:t>206701201080397409</w:t>
      </w:r>
      <w:r w:rsidRPr="00E91716">
        <w:t>分别向李华青、石家庄合力投资咨询中心（有限合伙）、光大国联创业投资有限公司、河北</w:t>
      </w:r>
      <w:proofErr w:type="gramStart"/>
      <w:r w:rsidRPr="00E91716">
        <w:t>科润杰创业</w:t>
      </w:r>
      <w:proofErr w:type="gramEnd"/>
      <w:r w:rsidRPr="00E91716">
        <w:t>投资有限公司、河北天鑫创业投资有限公司、天津天创鼎</w:t>
      </w:r>
      <w:proofErr w:type="gramStart"/>
      <w:r w:rsidRPr="00E91716">
        <w:t>鑫</w:t>
      </w:r>
      <w:proofErr w:type="gramEnd"/>
      <w:r w:rsidRPr="00E91716">
        <w:t>创业投资管理合伙企业（有限合伙）、李哲支付了嘉诚环保</w:t>
      </w:r>
      <w:r w:rsidRPr="00E91716">
        <w:t>32.45%</w:t>
      </w:r>
      <w:r w:rsidRPr="00E91716">
        <w:t>股权购买的款项，金额共计人民币</w:t>
      </w:r>
      <w:r w:rsidRPr="00E91716">
        <w:t>456,536,497.47</w:t>
      </w:r>
      <w:r w:rsidRPr="00E91716">
        <w:t>元，其中向自然人李华青和李哲支付的款项中，已扣除个人所得税。</w:t>
      </w:r>
    </w:p>
    <w:p w:rsidR="00E15A9F" w:rsidRPr="00E91716" w:rsidRDefault="00E15A9F" w:rsidP="00CF4FE3">
      <w:pPr>
        <w:spacing w:beforeLines="0" w:before="0" w:afterLines="0" w:after="0"/>
        <w:ind w:firstLine="480"/>
      </w:pPr>
      <w:r w:rsidRPr="00E91716">
        <w:t>根据公司本次非公开发行股票的实施方案，</w:t>
      </w:r>
      <w:r w:rsidRPr="00E91716">
        <w:t>2017</w:t>
      </w:r>
      <w:r w:rsidRPr="00E91716">
        <w:t>年</w:t>
      </w:r>
      <w:r w:rsidRPr="00E91716">
        <w:t>5</w:t>
      </w:r>
      <w:r w:rsidRPr="00E91716">
        <w:t>月</w:t>
      </w:r>
      <w:r w:rsidRPr="00E91716">
        <w:t>25</w:t>
      </w:r>
      <w:r w:rsidRPr="00E91716">
        <w:t>日，由子公司</w:t>
      </w:r>
      <w:proofErr w:type="gramStart"/>
      <w:r w:rsidRPr="00E91716">
        <w:t>滨海水业募集</w:t>
      </w:r>
      <w:proofErr w:type="gramEnd"/>
      <w:r w:rsidRPr="00E91716">
        <w:t>资金专户（上海浦东发展银行天津分行，账号：</w:t>
      </w:r>
      <w:r w:rsidRPr="00E91716">
        <w:t>77010154800026370</w:t>
      </w:r>
      <w:r w:rsidRPr="00E91716">
        <w:t>）向</w:t>
      </w:r>
      <w:proofErr w:type="gramStart"/>
      <w:r w:rsidRPr="00E91716">
        <w:t>滨海水业一般</w:t>
      </w:r>
      <w:proofErr w:type="gramEnd"/>
      <w:r w:rsidRPr="00E91716">
        <w:t>账户划转募集资金人民币</w:t>
      </w:r>
      <w:r w:rsidRPr="00E91716">
        <w:t>81,081,410.47</w:t>
      </w:r>
      <w:r w:rsidRPr="00E91716">
        <w:t>元及相关利息（根据本次非公开发行股票的实施方案，本次募集资金中，</w:t>
      </w:r>
      <w:r w:rsidRPr="00E91716">
        <w:t>98,800,000.00</w:t>
      </w:r>
      <w:r w:rsidRPr="00E91716">
        <w:t>元用于偿还</w:t>
      </w:r>
      <w:proofErr w:type="gramStart"/>
      <w:r w:rsidRPr="00E91716">
        <w:t>滨海水业银行贷款</w:t>
      </w:r>
      <w:proofErr w:type="gramEnd"/>
      <w:r w:rsidRPr="00E91716">
        <w:t>，由于承销费用预先已从募集资金专户中扣除，其余</w:t>
      </w:r>
      <w:r w:rsidRPr="00E91716">
        <w:t>17,718,589.53</w:t>
      </w:r>
      <w:r w:rsidRPr="00E91716">
        <w:t>元由公司以自有资金补足），用于置换</w:t>
      </w:r>
      <w:proofErr w:type="gramStart"/>
      <w:r w:rsidRPr="00E91716">
        <w:t>滨海水业预先</w:t>
      </w:r>
      <w:proofErr w:type="gramEnd"/>
      <w:r w:rsidRPr="00E91716">
        <w:t>已偿还的银行贷款，该募集资金置换议案已经公司第六届董事会第一次会议审议通过。</w:t>
      </w:r>
    </w:p>
    <w:p w:rsidR="00E15A9F" w:rsidRPr="00E91716" w:rsidRDefault="00E15A9F" w:rsidP="00CF4FE3">
      <w:pPr>
        <w:spacing w:beforeLines="0" w:before="0" w:afterLines="0" w:after="0"/>
        <w:ind w:firstLine="480"/>
      </w:pPr>
      <w:r w:rsidRPr="00E91716">
        <w:t>2017</w:t>
      </w:r>
      <w:r w:rsidRPr="00E91716">
        <w:t>年</w:t>
      </w:r>
      <w:r w:rsidRPr="00E91716">
        <w:t>6</w:t>
      </w:r>
      <w:r w:rsidRPr="00E91716">
        <w:t>月</w:t>
      </w:r>
      <w:r w:rsidRPr="00E91716">
        <w:t>13</w:t>
      </w:r>
      <w:r w:rsidRPr="00E91716">
        <w:t>日，由公司募集资金专户（天津银行红鑫支行，账号：</w:t>
      </w:r>
      <w:r w:rsidRPr="00E91716">
        <w:t>206701201080397409</w:t>
      </w:r>
      <w:r w:rsidRPr="00E91716">
        <w:t>）划出</w:t>
      </w:r>
      <w:r w:rsidRPr="00E91716">
        <w:t>13,988,492.06</w:t>
      </w:r>
      <w:r w:rsidRPr="00E91716">
        <w:t>元，上述资金为公司本次非公开发行股票募集资金项目中向李华青、李哲支付价款所应代扣代缴的个人所得税，该部分税款已向石家庄地税局缴纳完毕。</w:t>
      </w:r>
    </w:p>
    <w:p w:rsidR="00E15A9F" w:rsidRPr="00E15A9F" w:rsidRDefault="00E15A9F" w:rsidP="00CF4FE3">
      <w:pPr>
        <w:spacing w:beforeLines="0" w:before="0" w:afterLines="0" w:after="0"/>
        <w:ind w:firstLine="480"/>
      </w:pPr>
      <w:r w:rsidRPr="00E91716">
        <w:t>2017</w:t>
      </w:r>
      <w:r w:rsidRPr="00E91716">
        <w:t>年</w:t>
      </w:r>
      <w:r w:rsidRPr="00E91716">
        <w:t>6</w:t>
      </w:r>
      <w:r w:rsidRPr="00E91716">
        <w:t>月</w:t>
      </w:r>
      <w:r w:rsidRPr="00E91716">
        <w:t>26</w:t>
      </w:r>
      <w:r w:rsidRPr="00E91716">
        <w:t>日，本次非公开发行股票的募集资金专用账户内的全部募集资金已按照募集资金使用计划使用完毕。募集资金账户资金产生的利息已全部划入公司自有账户。公司在天津银行股份有限公司红鑫支行开设的募集资金监管账户（账号为</w:t>
      </w:r>
      <w:r w:rsidRPr="00E91716">
        <w:t>206701201080397409</w:t>
      </w:r>
      <w:r w:rsidRPr="00E91716">
        <w:t>）和子公司</w:t>
      </w:r>
      <w:proofErr w:type="gramStart"/>
      <w:r w:rsidRPr="00E91716">
        <w:t>滨海水业在</w:t>
      </w:r>
      <w:proofErr w:type="gramEnd"/>
      <w:r w:rsidRPr="00E91716">
        <w:t>上海浦东发展银行股份有限公司天津分行开设的募集资金监管账户（账号为</w:t>
      </w:r>
      <w:r w:rsidRPr="00E91716">
        <w:t>77010154800026370</w:t>
      </w:r>
      <w:r w:rsidRPr="00E91716">
        <w:t>）的余额均为</w:t>
      </w:r>
      <w:r w:rsidRPr="00E91716">
        <w:t>0</w:t>
      </w:r>
      <w:r w:rsidRPr="00E91716">
        <w:t>元，上述募集资金专户已办理了注销手续。</w:t>
      </w:r>
    </w:p>
    <w:p w:rsidR="00E15A9F" w:rsidRPr="008E069A" w:rsidRDefault="00E15A9F" w:rsidP="00CF4FE3">
      <w:pPr>
        <w:spacing w:beforeLines="0" w:before="0" w:afterLines="0" w:after="0"/>
        <w:ind w:firstLine="480"/>
        <w:rPr>
          <w:szCs w:val="28"/>
        </w:rPr>
      </w:pPr>
      <w:r w:rsidRPr="008E069A">
        <w:rPr>
          <w:szCs w:val="28"/>
        </w:rPr>
        <w:t>截至</w:t>
      </w:r>
      <w:r w:rsidRPr="008E069A">
        <w:rPr>
          <w:szCs w:val="28"/>
        </w:rPr>
        <w:t>2018</w:t>
      </w:r>
      <w:r w:rsidRPr="008E069A">
        <w:rPr>
          <w:szCs w:val="28"/>
        </w:rPr>
        <w:t>年</w:t>
      </w:r>
      <w:r w:rsidR="008C338E">
        <w:rPr>
          <w:szCs w:val="28"/>
        </w:rPr>
        <w:t>12</w:t>
      </w:r>
      <w:r w:rsidRPr="008E069A">
        <w:rPr>
          <w:szCs w:val="28"/>
        </w:rPr>
        <w:t>月</w:t>
      </w:r>
      <w:r w:rsidRPr="008E069A">
        <w:rPr>
          <w:szCs w:val="28"/>
        </w:rPr>
        <w:t>3</w:t>
      </w:r>
      <w:r w:rsidR="008C338E">
        <w:rPr>
          <w:szCs w:val="28"/>
        </w:rPr>
        <w:t>1</w:t>
      </w:r>
      <w:r w:rsidRPr="008E069A">
        <w:rPr>
          <w:szCs w:val="28"/>
        </w:rPr>
        <w:t>日，公司募集资金账户及金额如下：</w:t>
      </w:r>
    </w:p>
    <w:p w:rsidR="00E15A9F" w:rsidRPr="00FF3395" w:rsidRDefault="00E15A9F" w:rsidP="00CF4FE3">
      <w:pPr>
        <w:spacing w:beforeLines="0" w:before="0" w:afterLines="0" w:after="0" w:line="240" w:lineRule="auto"/>
        <w:ind w:firstLine="420"/>
        <w:jc w:val="right"/>
        <w:rPr>
          <w:sz w:val="21"/>
          <w:szCs w:val="21"/>
        </w:rPr>
      </w:pPr>
      <w:r w:rsidRPr="00FF3395">
        <w:rPr>
          <w:sz w:val="21"/>
          <w:szCs w:val="21"/>
        </w:rPr>
        <w:t>单位：元</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567"/>
        <w:gridCol w:w="426"/>
        <w:gridCol w:w="1843"/>
        <w:gridCol w:w="1559"/>
        <w:gridCol w:w="1559"/>
        <w:gridCol w:w="1597"/>
        <w:gridCol w:w="1418"/>
        <w:gridCol w:w="1297"/>
      </w:tblGrid>
      <w:tr w:rsidR="00E15A9F" w:rsidRPr="00E15A9F" w:rsidTr="00D84C0D">
        <w:trPr>
          <w:cantSplit/>
          <w:trHeight w:val="23"/>
          <w:jc w:val="center"/>
        </w:trPr>
        <w:tc>
          <w:tcPr>
            <w:tcW w:w="479"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b/>
                <w:bCs/>
                <w:sz w:val="21"/>
                <w:szCs w:val="21"/>
              </w:rPr>
              <w:lastRenderedPageBreak/>
              <w:t>序号</w:t>
            </w:r>
          </w:p>
        </w:tc>
        <w:tc>
          <w:tcPr>
            <w:tcW w:w="567" w:type="dxa"/>
            <w:vAlign w:val="center"/>
          </w:tcPr>
          <w:p w:rsidR="00E15A9F" w:rsidRPr="00E15A9F" w:rsidRDefault="00E15A9F" w:rsidP="00CF4FE3">
            <w:pPr>
              <w:spacing w:beforeLines="0" w:before="0" w:afterLines="0" w:after="0" w:line="240" w:lineRule="auto"/>
              <w:ind w:firstLineChars="0" w:firstLine="0"/>
              <w:jc w:val="center"/>
              <w:rPr>
                <w:rFonts w:cs="Times New Roman"/>
                <w:b/>
                <w:bCs/>
                <w:sz w:val="21"/>
                <w:szCs w:val="21"/>
              </w:rPr>
            </w:pPr>
            <w:r w:rsidRPr="00E15A9F">
              <w:rPr>
                <w:rFonts w:cs="Times New Roman"/>
                <w:b/>
                <w:bCs/>
                <w:sz w:val="21"/>
                <w:szCs w:val="21"/>
              </w:rPr>
              <w:t>募集资金年度</w:t>
            </w:r>
          </w:p>
        </w:tc>
        <w:tc>
          <w:tcPr>
            <w:tcW w:w="426"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b/>
                <w:bCs/>
                <w:sz w:val="21"/>
                <w:szCs w:val="21"/>
              </w:rPr>
              <w:t>开户单位</w:t>
            </w:r>
          </w:p>
        </w:tc>
        <w:tc>
          <w:tcPr>
            <w:tcW w:w="1843"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b/>
                <w:bCs/>
                <w:sz w:val="21"/>
                <w:szCs w:val="21"/>
              </w:rPr>
              <w:t>开户行及账号</w:t>
            </w:r>
          </w:p>
        </w:tc>
        <w:tc>
          <w:tcPr>
            <w:tcW w:w="1559"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b/>
                <w:bCs/>
                <w:sz w:val="21"/>
                <w:szCs w:val="21"/>
              </w:rPr>
              <w:t>募集资金到位金额</w:t>
            </w:r>
          </w:p>
        </w:tc>
        <w:tc>
          <w:tcPr>
            <w:tcW w:w="1559"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b/>
                <w:bCs/>
                <w:sz w:val="21"/>
                <w:szCs w:val="21"/>
              </w:rPr>
              <w:t>用于增资</w:t>
            </w:r>
          </w:p>
        </w:tc>
        <w:tc>
          <w:tcPr>
            <w:tcW w:w="1597"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b/>
                <w:bCs/>
                <w:sz w:val="21"/>
                <w:szCs w:val="21"/>
              </w:rPr>
              <w:t>截止本期末用于</w:t>
            </w:r>
            <w:proofErr w:type="gramStart"/>
            <w:r w:rsidRPr="00E15A9F">
              <w:rPr>
                <w:rFonts w:cs="Times New Roman"/>
                <w:b/>
                <w:bCs/>
                <w:sz w:val="21"/>
                <w:szCs w:val="21"/>
              </w:rPr>
              <w:t>募投项目</w:t>
            </w:r>
            <w:proofErr w:type="gramEnd"/>
          </w:p>
        </w:tc>
        <w:tc>
          <w:tcPr>
            <w:tcW w:w="1418"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b/>
                <w:bCs/>
                <w:sz w:val="21"/>
                <w:szCs w:val="21"/>
              </w:rPr>
              <w:t>利息收入</w:t>
            </w:r>
          </w:p>
        </w:tc>
        <w:tc>
          <w:tcPr>
            <w:tcW w:w="1297"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b/>
                <w:bCs/>
                <w:sz w:val="21"/>
                <w:szCs w:val="21"/>
              </w:rPr>
              <w:t>余额</w:t>
            </w:r>
          </w:p>
        </w:tc>
      </w:tr>
      <w:tr w:rsidR="00E15A9F" w:rsidRPr="00E15A9F" w:rsidTr="00D84C0D">
        <w:trPr>
          <w:cantSplit/>
          <w:trHeight w:val="23"/>
          <w:jc w:val="center"/>
        </w:trPr>
        <w:tc>
          <w:tcPr>
            <w:tcW w:w="479"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1</w:t>
            </w:r>
          </w:p>
        </w:tc>
        <w:tc>
          <w:tcPr>
            <w:tcW w:w="567"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2013</w:t>
            </w:r>
            <w:r w:rsidRPr="00E15A9F">
              <w:rPr>
                <w:rFonts w:cs="Times New Roman"/>
                <w:sz w:val="21"/>
                <w:szCs w:val="21"/>
              </w:rPr>
              <w:t>年</w:t>
            </w:r>
          </w:p>
        </w:tc>
        <w:tc>
          <w:tcPr>
            <w:tcW w:w="426"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渤海股份</w:t>
            </w:r>
          </w:p>
        </w:tc>
        <w:tc>
          <w:tcPr>
            <w:tcW w:w="1843"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渤海银行天津分行北辰支行</w:t>
            </w:r>
            <w:r w:rsidRPr="00E15A9F">
              <w:rPr>
                <w:rFonts w:cs="Times New Roman"/>
                <w:sz w:val="21"/>
                <w:szCs w:val="21"/>
              </w:rPr>
              <w:t>2001053583000183</w:t>
            </w:r>
          </w:p>
        </w:tc>
        <w:tc>
          <w:tcPr>
            <w:tcW w:w="1559"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sz w:val="21"/>
                <w:szCs w:val="21"/>
              </w:rPr>
            </w:pPr>
            <w:r w:rsidRPr="00E15A9F">
              <w:rPr>
                <w:rFonts w:cs="Times New Roman"/>
                <w:color w:val="000000"/>
                <w:kern w:val="0"/>
                <w:sz w:val="21"/>
                <w:szCs w:val="21"/>
              </w:rPr>
              <w:t>294,556,697.90</w:t>
            </w:r>
          </w:p>
        </w:tc>
        <w:tc>
          <w:tcPr>
            <w:tcW w:w="1559"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sz w:val="21"/>
                <w:szCs w:val="21"/>
              </w:rPr>
            </w:pPr>
            <w:r w:rsidRPr="00E15A9F">
              <w:rPr>
                <w:rFonts w:cs="Times New Roman"/>
                <w:color w:val="000000"/>
                <w:kern w:val="0"/>
                <w:sz w:val="21"/>
                <w:szCs w:val="21"/>
              </w:rPr>
              <w:t>294,556,697.90</w:t>
            </w:r>
          </w:p>
        </w:tc>
        <w:tc>
          <w:tcPr>
            <w:tcW w:w="1597"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color w:val="000000"/>
                <w:kern w:val="0"/>
                <w:sz w:val="21"/>
                <w:szCs w:val="21"/>
              </w:rPr>
            </w:pPr>
            <w:r w:rsidRPr="00E15A9F">
              <w:rPr>
                <w:rFonts w:cs="Times New Roman"/>
                <w:color w:val="000000"/>
                <w:kern w:val="0"/>
                <w:sz w:val="21"/>
                <w:szCs w:val="21"/>
              </w:rPr>
              <w:t>--</w:t>
            </w:r>
          </w:p>
        </w:tc>
        <w:tc>
          <w:tcPr>
            <w:tcW w:w="1418"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color w:val="000000"/>
                <w:kern w:val="0"/>
                <w:sz w:val="21"/>
                <w:szCs w:val="21"/>
              </w:rPr>
            </w:pPr>
            <w:r w:rsidRPr="00E15A9F">
              <w:rPr>
                <w:rFonts w:cs="Times New Roman"/>
                <w:color w:val="000000"/>
                <w:kern w:val="0"/>
                <w:sz w:val="21"/>
                <w:szCs w:val="21"/>
              </w:rPr>
              <w:t>226,389.74</w:t>
            </w:r>
          </w:p>
        </w:tc>
        <w:tc>
          <w:tcPr>
            <w:tcW w:w="1297"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color w:val="000000"/>
                <w:kern w:val="0"/>
                <w:sz w:val="21"/>
                <w:szCs w:val="21"/>
              </w:rPr>
            </w:pPr>
            <w:r w:rsidRPr="00E15A9F">
              <w:rPr>
                <w:rFonts w:cs="Times New Roman"/>
                <w:color w:val="000000"/>
                <w:kern w:val="0"/>
                <w:sz w:val="21"/>
                <w:szCs w:val="21"/>
              </w:rPr>
              <w:t>0</w:t>
            </w:r>
          </w:p>
          <w:p w:rsidR="00E15A9F" w:rsidRPr="00E15A9F" w:rsidRDefault="00E15A9F" w:rsidP="00CF4FE3">
            <w:pPr>
              <w:spacing w:beforeLines="0" w:before="0" w:afterLines="0" w:after="0" w:line="240" w:lineRule="auto"/>
              <w:ind w:firstLineChars="0" w:firstLine="0"/>
              <w:jc w:val="center"/>
              <w:textAlignment w:val="center"/>
              <w:rPr>
                <w:rFonts w:cs="Times New Roman"/>
                <w:color w:val="000000"/>
                <w:kern w:val="0"/>
                <w:sz w:val="21"/>
                <w:szCs w:val="21"/>
              </w:rPr>
            </w:pPr>
            <w:r w:rsidRPr="00E15A9F">
              <w:rPr>
                <w:rFonts w:cs="Times New Roman"/>
                <w:color w:val="000000"/>
                <w:kern w:val="0"/>
                <w:sz w:val="21"/>
                <w:szCs w:val="21"/>
              </w:rPr>
              <w:t>（已注销）</w:t>
            </w:r>
          </w:p>
        </w:tc>
      </w:tr>
      <w:tr w:rsidR="00E15A9F" w:rsidRPr="00E15A9F" w:rsidTr="00D84C0D">
        <w:trPr>
          <w:cantSplit/>
          <w:trHeight w:val="23"/>
          <w:jc w:val="center"/>
        </w:trPr>
        <w:tc>
          <w:tcPr>
            <w:tcW w:w="479"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2</w:t>
            </w:r>
          </w:p>
        </w:tc>
        <w:tc>
          <w:tcPr>
            <w:tcW w:w="567"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2013</w:t>
            </w:r>
            <w:r w:rsidRPr="00E15A9F">
              <w:rPr>
                <w:rFonts w:cs="Times New Roman"/>
                <w:sz w:val="21"/>
                <w:szCs w:val="21"/>
              </w:rPr>
              <w:t>年</w:t>
            </w:r>
          </w:p>
        </w:tc>
        <w:tc>
          <w:tcPr>
            <w:tcW w:w="426"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proofErr w:type="gramStart"/>
            <w:r w:rsidRPr="00E15A9F">
              <w:rPr>
                <w:rFonts w:cs="Times New Roman"/>
                <w:sz w:val="21"/>
                <w:szCs w:val="21"/>
              </w:rPr>
              <w:t>滨海水业</w:t>
            </w:r>
            <w:proofErr w:type="gramEnd"/>
          </w:p>
        </w:tc>
        <w:tc>
          <w:tcPr>
            <w:tcW w:w="1843"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渤海银行天津分行北辰支行</w:t>
            </w:r>
            <w:r w:rsidRPr="00E15A9F">
              <w:rPr>
                <w:rFonts w:cs="Times New Roman"/>
                <w:sz w:val="21"/>
                <w:szCs w:val="21"/>
              </w:rPr>
              <w:t>2000659884000223</w:t>
            </w:r>
          </w:p>
        </w:tc>
        <w:tc>
          <w:tcPr>
            <w:tcW w:w="1559"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sz w:val="21"/>
                <w:szCs w:val="21"/>
              </w:rPr>
            </w:pPr>
            <w:r w:rsidRPr="00E15A9F">
              <w:rPr>
                <w:rFonts w:cs="Times New Roman"/>
                <w:color w:val="000000"/>
                <w:kern w:val="0"/>
                <w:sz w:val="21"/>
                <w:szCs w:val="21"/>
              </w:rPr>
              <w:t>294,556,697.90</w:t>
            </w:r>
          </w:p>
        </w:tc>
        <w:tc>
          <w:tcPr>
            <w:tcW w:w="1559"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sz w:val="21"/>
                <w:szCs w:val="21"/>
              </w:rPr>
            </w:pPr>
            <w:r w:rsidRPr="00E15A9F">
              <w:rPr>
                <w:rFonts w:cs="Times New Roman"/>
                <w:color w:val="000000"/>
                <w:kern w:val="0"/>
                <w:sz w:val="21"/>
                <w:szCs w:val="21"/>
              </w:rPr>
              <w:t>120,493,700.00</w:t>
            </w:r>
          </w:p>
        </w:tc>
        <w:tc>
          <w:tcPr>
            <w:tcW w:w="1597"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color w:val="000000"/>
                <w:kern w:val="0"/>
                <w:sz w:val="21"/>
                <w:szCs w:val="21"/>
              </w:rPr>
            </w:pPr>
            <w:r w:rsidRPr="00E15A9F">
              <w:rPr>
                <w:rFonts w:cs="Times New Roman"/>
                <w:color w:val="000000"/>
                <w:kern w:val="0"/>
                <w:sz w:val="21"/>
                <w:szCs w:val="21"/>
              </w:rPr>
              <w:t>160,861,243.62</w:t>
            </w:r>
          </w:p>
        </w:tc>
        <w:tc>
          <w:tcPr>
            <w:tcW w:w="1418"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color w:val="000000"/>
                <w:kern w:val="0"/>
                <w:sz w:val="21"/>
                <w:szCs w:val="21"/>
              </w:rPr>
            </w:pPr>
            <w:r w:rsidRPr="00E15A9F">
              <w:rPr>
                <w:rFonts w:cs="Times New Roman"/>
                <w:color w:val="000000"/>
                <w:kern w:val="0"/>
                <w:sz w:val="21"/>
                <w:szCs w:val="21"/>
              </w:rPr>
              <w:t>573,576.65</w:t>
            </w:r>
          </w:p>
        </w:tc>
        <w:tc>
          <w:tcPr>
            <w:tcW w:w="1297"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color w:val="000000"/>
                <w:kern w:val="0"/>
                <w:sz w:val="21"/>
                <w:szCs w:val="21"/>
              </w:rPr>
            </w:pPr>
            <w:r w:rsidRPr="00E15A9F">
              <w:rPr>
                <w:rFonts w:cs="Times New Roman"/>
                <w:color w:val="000000"/>
                <w:kern w:val="0"/>
                <w:sz w:val="21"/>
                <w:szCs w:val="21"/>
              </w:rPr>
              <w:t>0</w:t>
            </w:r>
          </w:p>
          <w:p w:rsidR="00E15A9F" w:rsidRPr="00E15A9F" w:rsidRDefault="00E15A9F" w:rsidP="00CF4FE3">
            <w:pPr>
              <w:spacing w:beforeLines="0" w:before="0" w:afterLines="0" w:after="0" w:line="240" w:lineRule="auto"/>
              <w:ind w:firstLineChars="0" w:firstLine="0"/>
              <w:jc w:val="center"/>
              <w:textAlignment w:val="center"/>
              <w:rPr>
                <w:rFonts w:cs="Times New Roman"/>
                <w:color w:val="000000"/>
                <w:kern w:val="0"/>
                <w:sz w:val="21"/>
                <w:szCs w:val="21"/>
              </w:rPr>
            </w:pPr>
            <w:r w:rsidRPr="00E15A9F">
              <w:rPr>
                <w:rFonts w:cs="Times New Roman"/>
                <w:color w:val="000000"/>
                <w:kern w:val="0"/>
                <w:sz w:val="21"/>
                <w:szCs w:val="21"/>
              </w:rPr>
              <w:t>（已注销）</w:t>
            </w:r>
          </w:p>
        </w:tc>
      </w:tr>
      <w:tr w:rsidR="00E15A9F" w:rsidRPr="00E15A9F" w:rsidTr="00D84C0D">
        <w:trPr>
          <w:cantSplit/>
          <w:trHeight w:val="23"/>
          <w:jc w:val="center"/>
        </w:trPr>
        <w:tc>
          <w:tcPr>
            <w:tcW w:w="479"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3</w:t>
            </w:r>
          </w:p>
        </w:tc>
        <w:tc>
          <w:tcPr>
            <w:tcW w:w="567"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2013</w:t>
            </w:r>
            <w:r w:rsidRPr="00E15A9F">
              <w:rPr>
                <w:rFonts w:cs="Times New Roman"/>
                <w:sz w:val="21"/>
                <w:szCs w:val="21"/>
              </w:rPr>
              <w:t>年</w:t>
            </w:r>
          </w:p>
        </w:tc>
        <w:tc>
          <w:tcPr>
            <w:tcW w:w="426"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润</w:t>
            </w:r>
            <w:proofErr w:type="gramStart"/>
            <w:r w:rsidRPr="00E15A9F">
              <w:rPr>
                <w:rFonts w:cs="Times New Roman"/>
                <w:sz w:val="21"/>
                <w:szCs w:val="21"/>
              </w:rPr>
              <w:t>达环境</w:t>
            </w:r>
            <w:proofErr w:type="gramEnd"/>
          </w:p>
        </w:tc>
        <w:tc>
          <w:tcPr>
            <w:tcW w:w="1843"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渤海银行天津分行北辰支行</w:t>
            </w:r>
            <w:r w:rsidRPr="00E15A9F">
              <w:rPr>
                <w:rFonts w:cs="Times New Roman"/>
                <w:sz w:val="21"/>
                <w:szCs w:val="21"/>
              </w:rPr>
              <w:t>2001159351000298</w:t>
            </w:r>
          </w:p>
        </w:tc>
        <w:tc>
          <w:tcPr>
            <w:tcW w:w="1559"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sz w:val="21"/>
                <w:szCs w:val="21"/>
              </w:rPr>
            </w:pPr>
            <w:r w:rsidRPr="00E15A9F">
              <w:rPr>
                <w:rFonts w:cs="Times New Roman"/>
                <w:color w:val="000000"/>
                <w:kern w:val="0"/>
                <w:sz w:val="21"/>
                <w:szCs w:val="21"/>
              </w:rPr>
              <w:t>120,493,700.00</w:t>
            </w:r>
          </w:p>
        </w:tc>
        <w:tc>
          <w:tcPr>
            <w:tcW w:w="1559"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sz w:val="21"/>
                <w:szCs w:val="21"/>
              </w:rPr>
            </w:pPr>
            <w:r w:rsidRPr="00E15A9F">
              <w:rPr>
                <w:rFonts w:cs="Times New Roman"/>
                <w:color w:val="000000"/>
                <w:kern w:val="0"/>
                <w:sz w:val="21"/>
                <w:szCs w:val="21"/>
              </w:rPr>
              <w:t>120,493,700.00</w:t>
            </w:r>
          </w:p>
        </w:tc>
        <w:tc>
          <w:tcPr>
            <w:tcW w:w="1597"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color w:val="000000"/>
                <w:kern w:val="0"/>
                <w:sz w:val="21"/>
                <w:szCs w:val="21"/>
              </w:rPr>
            </w:pPr>
            <w:r w:rsidRPr="00E15A9F">
              <w:rPr>
                <w:rFonts w:cs="Times New Roman"/>
                <w:color w:val="000000"/>
                <w:kern w:val="0"/>
                <w:sz w:val="21"/>
                <w:szCs w:val="21"/>
              </w:rPr>
              <w:t>--</w:t>
            </w:r>
          </w:p>
        </w:tc>
        <w:tc>
          <w:tcPr>
            <w:tcW w:w="1418"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kern w:val="0"/>
                <w:sz w:val="21"/>
                <w:szCs w:val="21"/>
              </w:rPr>
            </w:pPr>
            <w:r w:rsidRPr="00E15A9F">
              <w:rPr>
                <w:rFonts w:cs="Times New Roman"/>
                <w:kern w:val="0"/>
                <w:sz w:val="21"/>
                <w:szCs w:val="21"/>
              </w:rPr>
              <w:t>18,278.04</w:t>
            </w:r>
          </w:p>
        </w:tc>
        <w:tc>
          <w:tcPr>
            <w:tcW w:w="1297"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kern w:val="0"/>
                <w:sz w:val="21"/>
                <w:szCs w:val="21"/>
              </w:rPr>
            </w:pPr>
            <w:r w:rsidRPr="00E15A9F">
              <w:rPr>
                <w:rFonts w:cs="Times New Roman"/>
                <w:kern w:val="0"/>
                <w:sz w:val="21"/>
                <w:szCs w:val="21"/>
              </w:rPr>
              <w:t>0</w:t>
            </w:r>
          </w:p>
          <w:p w:rsidR="00E15A9F" w:rsidRPr="00E15A9F" w:rsidRDefault="00E15A9F" w:rsidP="00CF4FE3">
            <w:pPr>
              <w:spacing w:beforeLines="0" w:before="0" w:afterLines="0" w:after="0" w:line="240" w:lineRule="auto"/>
              <w:ind w:firstLineChars="0" w:firstLine="0"/>
              <w:jc w:val="center"/>
              <w:textAlignment w:val="center"/>
              <w:rPr>
                <w:rFonts w:cs="Times New Roman"/>
                <w:kern w:val="0"/>
                <w:sz w:val="21"/>
                <w:szCs w:val="21"/>
              </w:rPr>
            </w:pPr>
            <w:r w:rsidRPr="00E15A9F">
              <w:rPr>
                <w:rFonts w:cs="Times New Roman"/>
                <w:kern w:val="0"/>
                <w:sz w:val="21"/>
                <w:szCs w:val="21"/>
              </w:rPr>
              <w:t>（已注销）</w:t>
            </w:r>
          </w:p>
        </w:tc>
      </w:tr>
      <w:tr w:rsidR="00E15A9F" w:rsidRPr="00E15A9F" w:rsidTr="00D84C0D">
        <w:trPr>
          <w:cantSplit/>
          <w:trHeight w:val="23"/>
          <w:jc w:val="center"/>
        </w:trPr>
        <w:tc>
          <w:tcPr>
            <w:tcW w:w="479" w:type="dxa"/>
            <w:vAlign w:val="center"/>
          </w:tcPr>
          <w:p w:rsidR="00E15A9F" w:rsidRPr="00E15A9F" w:rsidRDefault="00E15A9F" w:rsidP="00CF4FE3">
            <w:pPr>
              <w:spacing w:beforeLines="0" w:before="0" w:afterLines="0" w:after="0" w:line="240" w:lineRule="auto"/>
              <w:ind w:firstLineChars="0" w:firstLine="0"/>
              <w:jc w:val="center"/>
              <w:rPr>
                <w:rFonts w:cs="Times New Roman"/>
                <w:b/>
                <w:bCs/>
                <w:sz w:val="21"/>
                <w:szCs w:val="21"/>
              </w:rPr>
            </w:pPr>
            <w:r w:rsidRPr="00E15A9F">
              <w:rPr>
                <w:rFonts w:cs="Times New Roman"/>
                <w:sz w:val="21"/>
                <w:szCs w:val="21"/>
              </w:rPr>
              <w:t>4</w:t>
            </w:r>
          </w:p>
        </w:tc>
        <w:tc>
          <w:tcPr>
            <w:tcW w:w="567"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2013</w:t>
            </w:r>
            <w:r w:rsidRPr="00E15A9F">
              <w:rPr>
                <w:rFonts w:cs="Times New Roman"/>
                <w:sz w:val="21"/>
                <w:szCs w:val="21"/>
              </w:rPr>
              <w:t>年</w:t>
            </w:r>
          </w:p>
        </w:tc>
        <w:tc>
          <w:tcPr>
            <w:tcW w:w="426"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润达金源</w:t>
            </w:r>
          </w:p>
        </w:tc>
        <w:tc>
          <w:tcPr>
            <w:tcW w:w="1843" w:type="dxa"/>
            <w:vAlign w:val="center"/>
          </w:tcPr>
          <w:p w:rsidR="00E15A9F" w:rsidRPr="00E15A9F" w:rsidRDefault="00E15A9F" w:rsidP="00CF4FE3">
            <w:pPr>
              <w:spacing w:beforeLines="0" w:before="0" w:afterLines="0" w:after="0" w:line="240" w:lineRule="auto"/>
              <w:ind w:firstLineChars="0" w:firstLine="0"/>
              <w:jc w:val="center"/>
              <w:rPr>
                <w:rFonts w:cs="Times New Roman"/>
                <w:b/>
                <w:bCs/>
                <w:sz w:val="21"/>
                <w:szCs w:val="21"/>
              </w:rPr>
            </w:pPr>
            <w:r w:rsidRPr="00E15A9F">
              <w:rPr>
                <w:rFonts w:cs="Times New Roman"/>
                <w:sz w:val="21"/>
                <w:szCs w:val="21"/>
              </w:rPr>
              <w:t>渤海银行天津分行北辰支行</w:t>
            </w:r>
            <w:r w:rsidRPr="00E15A9F">
              <w:rPr>
                <w:rFonts w:cs="Times New Roman"/>
                <w:sz w:val="21"/>
                <w:szCs w:val="21"/>
              </w:rPr>
              <w:t>2000951152000181</w:t>
            </w:r>
          </w:p>
        </w:tc>
        <w:tc>
          <w:tcPr>
            <w:tcW w:w="1559"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color w:val="000000"/>
                <w:kern w:val="0"/>
                <w:sz w:val="21"/>
                <w:szCs w:val="21"/>
              </w:rPr>
            </w:pPr>
            <w:r w:rsidRPr="00E15A9F">
              <w:rPr>
                <w:rFonts w:cs="Times New Roman"/>
                <w:color w:val="000000"/>
                <w:kern w:val="0"/>
                <w:sz w:val="21"/>
                <w:szCs w:val="21"/>
              </w:rPr>
              <w:t>120,493,700.00</w:t>
            </w:r>
          </w:p>
        </w:tc>
        <w:tc>
          <w:tcPr>
            <w:tcW w:w="1559"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color w:val="000000"/>
                <w:kern w:val="0"/>
                <w:sz w:val="21"/>
                <w:szCs w:val="21"/>
              </w:rPr>
            </w:pPr>
            <w:r w:rsidRPr="00E15A9F">
              <w:rPr>
                <w:rFonts w:cs="Times New Roman"/>
                <w:color w:val="000000"/>
                <w:kern w:val="0"/>
                <w:sz w:val="21"/>
                <w:szCs w:val="21"/>
              </w:rPr>
              <w:t>--</w:t>
            </w:r>
          </w:p>
        </w:tc>
        <w:tc>
          <w:tcPr>
            <w:tcW w:w="1597"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kern w:val="0"/>
                <w:sz w:val="21"/>
                <w:szCs w:val="21"/>
              </w:rPr>
            </w:pPr>
            <w:r w:rsidRPr="00E15A9F">
              <w:rPr>
                <w:rFonts w:cs="Times New Roman"/>
                <w:kern w:val="0"/>
                <w:sz w:val="21"/>
                <w:szCs w:val="21"/>
              </w:rPr>
              <w:t>120,904,826.07</w:t>
            </w:r>
          </w:p>
        </w:tc>
        <w:tc>
          <w:tcPr>
            <w:tcW w:w="1418"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kern w:val="0"/>
                <w:sz w:val="21"/>
                <w:szCs w:val="21"/>
              </w:rPr>
            </w:pPr>
            <w:r w:rsidRPr="00E15A9F">
              <w:rPr>
                <w:rFonts w:cs="Times New Roman"/>
                <w:kern w:val="0"/>
                <w:sz w:val="21"/>
                <w:szCs w:val="21"/>
              </w:rPr>
              <w:t>411,146.80</w:t>
            </w:r>
          </w:p>
        </w:tc>
        <w:tc>
          <w:tcPr>
            <w:tcW w:w="1297"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kern w:val="0"/>
                <w:sz w:val="21"/>
                <w:szCs w:val="21"/>
              </w:rPr>
            </w:pPr>
            <w:r w:rsidRPr="00E15A9F">
              <w:rPr>
                <w:rFonts w:cs="Times New Roman"/>
                <w:kern w:val="0"/>
                <w:sz w:val="21"/>
                <w:szCs w:val="21"/>
              </w:rPr>
              <w:t>0</w:t>
            </w:r>
          </w:p>
          <w:p w:rsidR="00E15A9F" w:rsidRPr="00E15A9F" w:rsidRDefault="00E15A9F" w:rsidP="00CF4FE3">
            <w:pPr>
              <w:spacing w:beforeLines="0" w:before="0" w:afterLines="0" w:after="0" w:line="240" w:lineRule="auto"/>
              <w:ind w:firstLineChars="0" w:firstLine="0"/>
              <w:jc w:val="center"/>
              <w:textAlignment w:val="center"/>
              <w:rPr>
                <w:rFonts w:cs="Times New Roman"/>
                <w:kern w:val="0"/>
                <w:sz w:val="21"/>
                <w:szCs w:val="21"/>
              </w:rPr>
            </w:pPr>
            <w:r w:rsidRPr="00E15A9F">
              <w:rPr>
                <w:rFonts w:cs="Times New Roman"/>
                <w:kern w:val="0"/>
                <w:sz w:val="21"/>
                <w:szCs w:val="21"/>
              </w:rPr>
              <w:t>（已注销）</w:t>
            </w:r>
          </w:p>
        </w:tc>
      </w:tr>
      <w:tr w:rsidR="00E15A9F" w:rsidRPr="00E15A9F" w:rsidTr="00D84C0D">
        <w:trPr>
          <w:cantSplit/>
          <w:trHeight w:val="23"/>
          <w:jc w:val="center"/>
        </w:trPr>
        <w:tc>
          <w:tcPr>
            <w:tcW w:w="479"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5</w:t>
            </w:r>
          </w:p>
        </w:tc>
        <w:tc>
          <w:tcPr>
            <w:tcW w:w="567"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2016</w:t>
            </w:r>
            <w:r w:rsidRPr="00E15A9F">
              <w:rPr>
                <w:rFonts w:cs="Times New Roman"/>
                <w:sz w:val="21"/>
                <w:szCs w:val="21"/>
              </w:rPr>
              <w:t>年</w:t>
            </w:r>
          </w:p>
        </w:tc>
        <w:tc>
          <w:tcPr>
            <w:tcW w:w="426"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渤海股份</w:t>
            </w:r>
          </w:p>
        </w:tc>
        <w:tc>
          <w:tcPr>
            <w:tcW w:w="1843"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天津银行红鑫支行</w:t>
            </w:r>
            <w:r w:rsidRPr="00E15A9F">
              <w:rPr>
                <w:rFonts w:cs="Times New Roman"/>
                <w:sz w:val="21"/>
                <w:szCs w:val="21"/>
              </w:rPr>
              <w:t>206701201080397409</w:t>
            </w:r>
          </w:p>
        </w:tc>
        <w:tc>
          <w:tcPr>
            <w:tcW w:w="1559" w:type="dxa"/>
            <w:vAlign w:val="center"/>
          </w:tcPr>
          <w:p w:rsidR="00E15A9F" w:rsidRPr="00E15A9F" w:rsidRDefault="00E15A9F" w:rsidP="00CF4FE3">
            <w:pPr>
              <w:spacing w:beforeLines="0" w:before="0" w:afterLines="0" w:after="0" w:line="240" w:lineRule="auto"/>
              <w:ind w:firstLineChars="0" w:firstLine="0"/>
              <w:jc w:val="center"/>
              <w:rPr>
                <w:rFonts w:cs="Times New Roman"/>
                <w:color w:val="000000"/>
                <w:kern w:val="0"/>
                <w:sz w:val="21"/>
                <w:szCs w:val="21"/>
              </w:rPr>
            </w:pPr>
            <w:r w:rsidRPr="00E15A9F">
              <w:rPr>
                <w:rFonts w:cs="Times New Roman"/>
                <w:sz w:val="21"/>
                <w:szCs w:val="21"/>
              </w:rPr>
              <w:t>551,606,400.00</w:t>
            </w:r>
          </w:p>
        </w:tc>
        <w:tc>
          <w:tcPr>
            <w:tcW w:w="1559" w:type="dxa"/>
            <w:vAlign w:val="center"/>
          </w:tcPr>
          <w:p w:rsidR="00E15A9F" w:rsidRPr="00E15A9F" w:rsidRDefault="00E15A9F" w:rsidP="00CF4FE3">
            <w:pPr>
              <w:spacing w:beforeLines="0" w:before="0" w:afterLines="0" w:after="0" w:line="240" w:lineRule="auto"/>
              <w:ind w:firstLineChars="0" w:firstLine="0"/>
              <w:jc w:val="center"/>
              <w:rPr>
                <w:rFonts w:cs="Times New Roman"/>
                <w:color w:val="000000"/>
                <w:kern w:val="0"/>
                <w:sz w:val="21"/>
                <w:szCs w:val="21"/>
              </w:rPr>
            </w:pPr>
            <w:r w:rsidRPr="00E15A9F">
              <w:rPr>
                <w:rFonts w:cs="Times New Roman"/>
                <w:sz w:val="21"/>
                <w:szCs w:val="21"/>
              </w:rPr>
              <w:t>81,081,410.47</w:t>
            </w:r>
          </w:p>
        </w:tc>
        <w:tc>
          <w:tcPr>
            <w:tcW w:w="1597"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470,524,989.53</w:t>
            </w:r>
          </w:p>
        </w:tc>
        <w:tc>
          <w:tcPr>
            <w:tcW w:w="1418" w:type="dxa"/>
            <w:vAlign w:val="center"/>
          </w:tcPr>
          <w:p w:rsidR="00E15A9F" w:rsidRPr="00E15A9F" w:rsidRDefault="00E15A9F" w:rsidP="00CF4FE3">
            <w:pPr>
              <w:spacing w:beforeLines="0" w:before="0" w:afterLines="0" w:after="0" w:line="240" w:lineRule="auto"/>
              <w:ind w:rightChars="10" w:right="24" w:firstLineChars="0" w:firstLine="0"/>
              <w:jc w:val="center"/>
              <w:textAlignment w:val="center"/>
              <w:rPr>
                <w:rFonts w:cs="Times New Roman"/>
                <w:color w:val="000000"/>
                <w:kern w:val="0"/>
                <w:sz w:val="21"/>
                <w:szCs w:val="21"/>
              </w:rPr>
            </w:pPr>
            <w:r w:rsidRPr="00E15A9F">
              <w:rPr>
                <w:rFonts w:cs="Times New Roman"/>
                <w:color w:val="000000"/>
                <w:kern w:val="0"/>
                <w:sz w:val="21"/>
                <w:szCs w:val="21"/>
              </w:rPr>
              <w:t>43,922.39</w:t>
            </w:r>
          </w:p>
        </w:tc>
        <w:tc>
          <w:tcPr>
            <w:tcW w:w="1297"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0</w:t>
            </w:r>
          </w:p>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（已注销）</w:t>
            </w:r>
          </w:p>
        </w:tc>
      </w:tr>
      <w:tr w:rsidR="00E15A9F" w:rsidRPr="00E15A9F" w:rsidTr="00D84C0D">
        <w:trPr>
          <w:cantSplit/>
          <w:trHeight w:val="23"/>
          <w:jc w:val="center"/>
        </w:trPr>
        <w:tc>
          <w:tcPr>
            <w:tcW w:w="479"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6</w:t>
            </w:r>
          </w:p>
        </w:tc>
        <w:tc>
          <w:tcPr>
            <w:tcW w:w="567"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2016</w:t>
            </w:r>
            <w:r w:rsidRPr="00E15A9F">
              <w:rPr>
                <w:rFonts w:cs="Times New Roman"/>
                <w:sz w:val="21"/>
                <w:szCs w:val="21"/>
              </w:rPr>
              <w:t>年</w:t>
            </w:r>
          </w:p>
        </w:tc>
        <w:tc>
          <w:tcPr>
            <w:tcW w:w="426"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proofErr w:type="gramStart"/>
            <w:r w:rsidRPr="00E15A9F">
              <w:rPr>
                <w:rFonts w:cs="Times New Roman"/>
                <w:sz w:val="21"/>
                <w:szCs w:val="21"/>
              </w:rPr>
              <w:t>滨海水业</w:t>
            </w:r>
            <w:proofErr w:type="gramEnd"/>
          </w:p>
        </w:tc>
        <w:tc>
          <w:tcPr>
            <w:tcW w:w="1843" w:type="dxa"/>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上海浦东发展银行天津分行</w:t>
            </w:r>
            <w:r w:rsidRPr="00E15A9F">
              <w:rPr>
                <w:rFonts w:cs="Times New Roman"/>
                <w:sz w:val="21"/>
                <w:szCs w:val="21"/>
              </w:rPr>
              <w:t>77010154800026370</w:t>
            </w:r>
          </w:p>
        </w:tc>
        <w:tc>
          <w:tcPr>
            <w:tcW w:w="1559"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color w:val="000000"/>
                <w:kern w:val="0"/>
                <w:sz w:val="21"/>
                <w:szCs w:val="21"/>
              </w:rPr>
            </w:pPr>
            <w:r w:rsidRPr="00E15A9F">
              <w:rPr>
                <w:rFonts w:cs="Times New Roman"/>
                <w:color w:val="000000"/>
                <w:kern w:val="0"/>
                <w:sz w:val="21"/>
                <w:szCs w:val="21"/>
              </w:rPr>
              <w:t>81,081,410.47</w:t>
            </w:r>
          </w:p>
        </w:tc>
        <w:tc>
          <w:tcPr>
            <w:tcW w:w="1559"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color w:val="000000"/>
                <w:kern w:val="0"/>
                <w:sz w:val="21"/>
                <w:szCs w:val="21"/>
              </w:rPr>
            </w:pPr>
          </w:p>
        </w:tc>
        <w:tc>
          <w:tcPr>
            <w:tcW w:w="1597" w:type="dxa"/>
            <w:vAlign w:val="center"/>
          </w:tcPr>
          <w:p w:rsidR="00E15A9F" w:rsidRPr="00E15A9F" w:rsidRDefault="00E15A9F" w:rsidP="00CF4FE3">
            <w:pPr>
              <w:spacing w:beforeLines="0" w:before="0" w:afterLines="0" w:after="0" w:line="240" w:lineRule="auto"/>
              <w:ind w:right="210" w:firstLineChars="0" w:firstLine="0"/>
              <w:jc w:val="center"/>
              <w:rPr>
                <w:rFonts w:cs="Times New Roman"/>
                <w:sz w:val="21"/>
                <w:szCs w:val="21"/>
              </w:rPr>
            </w:pPr>
            <w:r w:rsidRPr="00E15A9F">
              <w:rPr>
                <w:rFonts w:cs="Times New Roman"/>
                <w:color w:val="000000"/>
                <w:kern w:val="0"/>
                <w:sz w:val="21"/>
                <w:szCs w:val="21"/>
              </w:rPr>
              <w:t>81,081,410.47</w:t>
            </w:r>
          </w:p>
        </w:tc>
        <w:tc>
          <w:tcPr>
            <w:tcW w:w="1418" w:type="dxa"/>
            <w:vAlign w:val="center"/>
          </w:tcPr>
          <w:p w:rsidR="00E15A9F" w:rsidRPr="00E15A9F" w:rsidRDefault="00E15A9F" w:rsidP="00CF4FE3">
            <w:pPr>
              <w:spacing w:beforeLines="0" w:before="0" w:afterLines="0" w:after="0" w:line="240" w:lineRule="auto"/>
              <w:ind w:rightChars="10" w:right="24" w:firstLineChars="0" w:firstLine="0"/>
              <w:jc w:val="center"/>
              <w:textAlignment w:val="center"/>
              <w:rPr>
                <w:rFonts w:cs="Times New Roman"/>
                <w:color w:val="000000"/>
                <w:kern w:val="0"/>
                <w:sz w:val="21"/>
                <w:szCs w:val="21"/>
              </w:rPr>
            </w:pPr>
            <w:r w:rsidRPr="00E15A9F">
              <w:rPr>
                <w:rFonts w:cs="Times New Roman"/>
                <w:color w:val="000000"/>
                <w:kern w:val="0"/>
                <w:sz w:val="21"/>
                <w:szCs w:val="21"/>
              </w:rPr>
              <w:t>245,995.20</w:t>
            </w:r>
          </w:p>
        </w:tc>
        <w:tc>
          <w:tcPr>
            <w:tcW w:w="1297" w:type="dxa"/>
            <w:vAlign w:val="center"/>
          </w:tcPr>
          <w:p w:rsidR="00E15A9F" w:rsidRPr="00E15A9F" w:rsidRDefault="00E15A9F" w:rsidP="00CF4FE3">
            <w:pPr>
              <w:spacing w:beforeLines="0" w:before="0" w:afterLines="0" w:after="0" w:line="240" w:lineRule="auto"/>
              <w:ind w:firstLineChars="0" w:firstLine="0"/>
              <w:jc w:val="center"/>
              <w:rPr>
                <w:rFonts w:cs="Times New Roman"/>
                <w:kern w:val="0"/>
                <w:sz w:val="21"/>
                <w:szCs w:val="21"/>
              </w:rPr>
            </w:pPr>
            <w:r w:rsidRPr="00E15A9F">
              <w:rPr>
                <w:rFonts w:cs="Times New Roman"/>
                <w:kern w:val="0"/>
                <w:sz w:val="21"/>
                <w:szCs w:val="21"/>
              </w:rPr>
              <w:t>0</w:t>
            </w:r>
          </w:p>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（已注销）</w:t>
            </w:r>
          </w:p>
        </w:tc>
      </w:tr>
      <w:tr w:rsidR="00E15A9F" w:rsidRPr="00E15A9F" w:rsidTr="00D84C0D">
        <w:trPr>
          <w:cantSplit/>
          <w:trHeight w:val="23"/>
          <w:jc w:val="center"/>
        </w:trPr>
        <w:tc>
          <w:tcPr>
            <w:tcW w:w="479" w:type="dxa"/>
            <w:vAlign w:val="center"/>
          </w:tcPr>
          <w:p w:rsidR="00E15A9F" w:rsidRPr="00E15A9F" w:rsidRDefault="00E15A9F" w:rsidP="00CF4FE3">
            <w:pPr>
              <w:spacing w:beforeLines="0" w:before="0" w:afterLines="0" w:after="0" w:line="240" w:lineRule="auto"/>
              <w:ind w:firstLineChars="0" w:firstLine="0"/>
              <w:jc w:val="center"/>
              <w:rPr>
                <w:rFonts w:cs="Times New Roman"/>
                <w:b/>
                <w:bCs/>
                <w:sz w:val="21"/>
                <w:szCs w:val="21"/>
              </w:rPr>
            </w:pPr>
            <w:r w:rsidRPr="00E15A9F">
              <w:rPr>
                <w:rFonts w:cs="Times New Roman"/>
                <w:b/>
                <w:bCs/>
                <w:sz w:val="21"/>
                <w:szCs w:val="21"/>
              </w:rPr>
              <w:t>7</w:t>
            </w:r>
          </w:p>
        </w:tc>
        <w:tc>
          <w:tcPr>
            <w:tcW w:w="567" w:type="dxa"/>
            <w:vAlign w:val="center"/>
          </w:tcPr>
          <w:p w:rsidR="00E15A9F" w:rsidRPr="00E15A9F" w:rsidRDefault="00E15A9F" w:rsidP="00CF4FE3">
            <w:pPr>
              <w:spacing w:beforeLines="0" w:before="0" w:afterLines="0" w:after="0" w:line="240" w:lineRule="auto"/>
              <w:ind w:firstLineChars="0" w:firstLine="0"/>
              <w:jc w:val="center"/>
              <w:rPr>
                <w:rFonts w:cs="Times New Roman"/>
                <w:b/>
                <w:bCs/>
                <w:sz w:val="21"/>
                <w:szCs w:val="21"/>
              </w:rPr>
            </w:pPr>
            <w:r w:rsidRPr="00E15A9F">
              <w:rPr>
                <w:rFonts w:cs="Times New Roman"/>
                <w:b/>
                <w:bCs/>
                <w:color w:val="000000"/>
                <w:sz w:val="21"/>
                <w:szCs w:val="21"/>
              </w:rPr>
              <w:t>-</w:t>
            </w:r>
            <w:r w:rsidRPr="00E15A9F">
              <w:rPr>
                <w:rFonts w:cs="Times New Roman"/>
                <w:sz w:val="21"/>
                <w:szCs w:val="21"/>
              </w:rPr>
              <w:t>-</w:t>
            </w:r>
          </w:p>
        </w:tc>
        <w:tc>
          <w:tcPr>
            <w:tcW w:w="426" w:type="dxa"/>
            <w:vAlign w:val="center"/>
          </w:tcPr>
          <w:p w:rsidR="00E15A9F" w:rsidRPr="00E15A9F" w:rsidRDefault="00E15A9F" w:rsidP="00CF4FE3">
            <w:pPr>
              <w:spacing w:beforeLines="0" w:before="0" w:afterLines="0" w:after="0" w:line="240" w:lineRule="auto"/>
              <w:ind w:firstLineChars="0" w:firstLine="0"/>
              <w:jc w:val="center"/>
              <w:rPr>
                <w:rFonts w:cs="Times New Roman"/>
                <w:b/>
                <w:bCs/>
                <w:sz w:val="21"/>
                <w:szCs w:val="21"/>
              </w:rPr>
            </w:pPr>
            <w:r w:rsidRPr="00E15A9F">
              <w:rPr>
                <w:rFonts w:cs="Times New Roman"/>
                <w:b/>
                <w:bCs/>
                <w:sz w:val="21"/>
                <w:szCs w:val="21"/>
              </w:rPr>
              <w:t>合计</w:t>
            </w:r>
          </w:p>
        </w:tc>
        <w:tc>
          <w:tcPr>
            <w:tcW w:w="1843" w:type="dxa"/>
            <w:vAlign w:val="center"/>
          </w:tcPr>
          <w:p w:rsidR="00E15A9F" w:rsidRPr="00E15A9F" w:rsidRDefault="00E15A9F" w:rsidP="00CF4FE3">
            <w:pPr>
              <w:spacing w:beforeLines="0" w:before="0" w:afterLines="0" w:after="0" w:line="240" w:lineRule="auto"/>
              <w:ind w:firstLineChars="0" w:firstLine="0"/>
              <w:jc w:val="center"/>
              <w:rPr>
                <w:rFonts w:cs="Times New Roman"/>
                <w:b/>
                <w:bCs/>
                <w:color w:val="000000"/>
                <w:sz w:val="21"/>
                <w:szCs w:val="21"/>
              </w:rPr>
            </w:pPr>
            <w:r w:rsidRPr="00E15A9F">
              <w:rPr>
                <w:rFonts w:cs="Times New Roman"/>
                <w:b/>
                <w:bCs/>
                <w:color w:val="000000"/>
                <w:sz w:val="21"/>
                <w:szCs w:val="21"/>
              </w:rPr>
              <w:t>--</w:t>
            </w:r>
          </w:p>
        </w:tc>
        <w:tc>
          <w:tcPr>
            <w:tcW w:w="1559" w:type="dxa"/>
            <w:vAlign w:val="center"/>
          </w:tcPr>
          <w:p w:rsidR="00E15A9F" w:rsidRPr="00E15A9F" w:rsidRDefault="00E15A9F" w:rsidP="00CF4FE3">
            <w:pPr>
              <w:spacing w:beforeLines="0" w:before="0" w:afterLines="0" w:after="0" w:line="240" w:lineRule="auto"/>
              <w:ind w:firstLineChars="0" w:firstLine="0"/>
              <w:jc w:val="center"/>
              <w:rPr>
                <w:rFonts w:cs="Times New Roman"/>
                <w:b/>
                <w:bCs/>
                <w:color w:val="000000"/>
                <w:sz w:val="21"/>
                <w:szCs w:val="21"/>
              </w:rPr>
            </w:pPr>
            <w:r w:rsidRPr="00E15A9F">
              <w:rPr>
                <w:rFonts w:cs="Times New Roman"/>
                <w:b/>
                <w:bCs/>
                <w:color w:val="000000"/>
                <w:sz w:val="21"/>
                <w:szCs w:val="21"/>
              </w:rPr>
              <w:t>-</w:t>
            </w:r>
            <w:r w:rsidRPr="00E15A9F">
              <w:rPr>
                <w:rFonts w:cs="Times New Roman"/>
                <w:sz w:val="21"/>
                <w:szCs w:val="21"/>
              </w:rPr>
              <w:t>-</w:t>
            </w:r>
          </w:p>
        </w:tc>
        <w:tc>
          <w:tcPr>
            <w:tcW w:w="1559" w:type="dxa"/>
            <w:vAlign w:val="center"/>
          </w:tcPr>
          <w:p w:rsidR="00E15A9F" w:rsidRPr="00E15A9F" w:rsidRDefault="00E15A9F" w:rsidP="00CF4FE3">
            <w:pPr>
              <w:spacing w:beforeLines="0" w:before="0" w:afterLines="0" w:after="0" w:line="240" w:lineRule="auto"/>
              <w:ind w:firstLineChars="0" w:firstLine="0"/>
              <w:jc w:val="center"/>
              <w:rPr>
                <w:rFonts w:cs="Times New Roman"/>
                <w:b/>
                <w:bCs/>
                <w:color w:val="000000"/>
                <w:sz w:val="21"/>
                <w:szCs w:val="21"/>
              </w:rPr>
            </w:pPr>
            <w:r w:rsidRPr="00E15A9F">
              <w:rPr>
                <w:rFonts w:cs="Times New Roman"/>
                <w:b/>
                <w:bCs/>
                <w:color w:val="000000"/>
                <w:sz w:val="21"/>
                <w:szCs w:val="21"/>
              </w:rPr>
              <w:t>-</w:t>
            </w:r>
            <w:r w:rsidRPr="00E15A9F">
              <w:rPr>
                <w:rFonts w:cs="Times New Roman"/>
                <w:sz w:val="21"/>
                <w:szCs w:val="21"/>
              </w:rPr>
              <w:t>-</w:t>
            </w:r>
          </w:p>
        </w:tc>
        <w:tc>
          <w:tcPr>
            <w:tcW w:w="1597"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b/>
                <w:bCs/>
                <w:sz w:val="21"/>
                <w:szCs w:val="21"/>
              </w:rPr>
            </w:pPr>
            <w:r w:rsidRPr="00E15A9F">
              <w:rPr>
                <w:rFonts w:cs="Times New Roman"/>
                <w:b/>
                <w:bCs/>
                <w:kern w:val="0"/>
                <w:sz w:val="21"/>
                <w:szCs w:val="21"/>
                <w:lang w:bidi="ar"/>
              </w:rPr>
              <w:t>833,372,469.69</w:t>
            </w:r>
          </w:p>
        </w:tc>
        <w:tc>
          <w:tcPr>
            <w:tcW w:w="1418" w:type="dxa"/>
            <w:vAlign w:val="center"/>
          </w:tcPr>
          <w:p w:rsidR="00E15A9F" w:rsidRPr="00E15A9F" w:rsidRDefault="00E15A9F" w:rsidP="00CF4FE3">
            <w:pPr>
              <w:spacing w:beforeLines="0" w:before="0" w:afterLines="0" w:after="0" w:line="240" w:lineRule="auto"/>
              <w:ind w:firstLineChars="0" w:firstLine="0"/>
              <w:jc w:val="center"/>
              <w:textAlignment w:val="center"/>
              <w:rPr>
                <w:rFonts w:cs="Times New Roman"/>
                <w:b/>
                <w:bCs/>
                <w:sz w:val="21"/>
                <w:szCs w:val="21"/>
              </w:rPr>
            </w:pPr>
            <w:r w:rsidRPr="00E15A9F">
              <w:rPr>
                <w:rFonts w:cs="Times New Roman"/>
                <w:b/>
                <w:bCs/>
                <w:kern w:val="0"/>
                <w:sz w:val="21"/>
                <w:szCs w:val="21"/>
                <w:lang w:bidi="ar"/>
              </w:rPr>
              <w:t>1,519,308.82</w:t>
            </w:r>
          </w:p>
        </w:tc>
        <w:tc>
          <w:tcPr>
            <w:tcW w:w="1297" w:type="dxa"/>
            <w:vAlign w:val="center"/>
          </w:tcPr>
          <w:p w:rsidR="00E15A9F" w:rsidRPr="00E15A9F" w:rsidRDefault="00E15A9F" w:rsidP="00CF4FE3">
            <w:pPr>
              <w:spacing w:beforeLines="0" w:before="0" w:afterLines="0" w:after="0" w:line="240" w:lineRule="auto"/>
              <w:ind w:firstLineChars="0" w:firstLine="0"/>
              <w:jc w:val="center"/>
              <w:rPr>
                <w:rFonts w:cs="Times New Roman"/>
                <w:b/>
                <w:bCs/>
                <w:sz w:val="21"/>
                <w:szCs w:val="21"/>
              </w:rPr>
            </w:pPr>
            <w:r w:rsidRPr="00E15A9F">
              <w:rPr>
                <w:rFonts w:cs="Times New Roman"/>
                <w:b/>
                <w:bCs/>
                <w:sz w:val="21"/>
                <w:szCs w:val="21"/>
              </w:rPr>
              <w:t>0</w:t>
            </w:r>
          </w:p>
        </w:tc>
      </w:tr>
    </w:tbl>
    <w:p w:rsidR="00E15A9F" w:rsidRPr="00E91716" w:rsidRDefault="00E15A9F" w:rsidP="00CF4FE3">
      <w:pPr>
        <w:pStyle w:val="2"/>
        <w:spacing w:before="156" w:after="156"/>
        <w:ind w:firstLine="562"/>
      </w:pPr>
      <w:r w:rsidRPr="00E91716">
        <w:t>二、募集资金管理情况</w:t>
      </w:r>
    </w:p>
    <w:p w:rsidR="00E15A9F" w:rsidRDefault="00E15A9F" w:rsidP="00CF4FE3">
      <w:pPr>
        <w:spacing w:beforeLines="0" w:before="0" w:afterLines="0" w:after="0"/>
        <w:ind w:firstLine="480"/>
        <w:rPr>
          <w:szCs w:val="28"/>
        </w:rPr>
      </w:pPr>
      <w:r w:rsidRPr="00E91716">
        <w:rPr>
          <w:szCs w:val="28"/>
        </w:rPr>
        <w:t>根据《上市公司监管指引第</w:t>
      </w:r>
      <w:r w:rsidRPr="00E91716">
        <w:rPr>
          <w:szCs w:val="28"/>
        </w:rPr>
        <w:t>2</w:t>
      </w:r>
      <w:r w:rsidRPr="00E91716">
        <w:rPr>
          <w:szCs w:val="28"/>
        </w:rPr>
        <w:t>号</w:t>
      </w:r>
      <w:r w:rsidRPr="00E91716">
        <w:rPr>
          <w:szCs w:val="28"/>
        </w:rPr>
        <w:t>——</w:t>
      </w:r>
      <w:r w:rsidRPr="00E91716">
        <w:rPr>
          <w:szCs w:val="28"/>
        </w:rPr>
        <w:t>上市公司募集资金管理和使用的监管要求》、《深圳证券交易所股票上市规则》以及《深圳证券交易所主板上市公司规范运作指引》等有关法律法规规定，公司修订了《募集资金管理制度》经第五届董事会第二十次会议审议通过，并于</w:t>
      </w:r>
      <w:r w:rsidRPr="00E91716">
        <w:rPr>
          <w:szCs w:val="28"/>
        </w:rPr>
        <w:t>2016</w:t>
      </w:r>
      <w:r w:rsidRPr="00E91716">
        <w:rPr>
          <w:szCs w:val="28"/>
        </w:rPr>
        <w:t>年</w:t>
      </w:r>
      <w:r w:rsidRPr="00E91716">
        <w:rPr>
          <w:szCs w:val="28"/>
        </w:rPr>
        <w:t>3</w:t>
      </w:r>
      <w:r w:rsidRPr="00E91716">
        <w:rPr>
          <w:szCs w:val="28"/>
        </w:rPr>
        <w:t>月</w:t>
      </w:r>
      <w:r w:rsidRPr="00E91716">
        <w:rPr>
          <w:szCs w:val="28"/>
        </w:rPr>
        <w:t>26</w:t>
      </w:r>
      <w:r w:rsidR="00DB32FE">
        <w:rPr>
          <w:szCs w:val="28"/>
        </w:rPr>
        <w:t>日对该制度进行了公告。公司对</w:t>
      </w:r>
      <w:r w:rsidRPr="00E91716">
        <w:rPr>
          <w:szCs w:val="28"/>
        </w:rPr>
        <w:t>募集资金实施专户管理，专款专用。募集资金专户存储的信息均在《中国证券报》、《证券时报》及巨潮资讯网刊登了《关于签订募集资金三方监管协议的公告》、</w:t>
      </w:r>
      <w:r w:rsidRPr="00E91716">
        <w:rPr>
          <w:szCs w:val="28"/>
        </w:rPr>
        <w:lastRenderedPageBreak/>
        <w:t>《募集资金四方监管协议的公告》。</w:t>
      </w:r>
    </w:p>
    <w:p w:rsidR="00E15A9F" w:rsidRPr="00E91716" w:rsidRDefault="00E15A9F" w:rsidP="00CF4FE3">
      <w:pPr>
        <w:spacing w:beforeLines="0" w:before="0" w:afterLines="0" w:after="0"/>
        <w:ind w:firstLine="480"/>
        <w:rPr>
          <w:szCs w:val="28"/>
        </w:rPr>
      </w:pPr>
      <w:r w:rsidRPr="00E91716">
        <w:rPr>
          <w:szCs w:val="28"/>
        </w:rPr>
        <w:t>2016</w:t>
      </w:r>
      <w:r w:rsidRPr="00E91716">
        <w:rPr>
          <w:szCs w:val="28"/>
        </w:rPr>
        <w:t>年</w:t>
      </w:r>
      <w:r w:rsidRPr="00E91716">
        <w:rPr>
          <w:szCs w:val="28"/>
        </w:rPr>
        <w:t>12</w:t>
      </w:r>
      <w:r w:rsidRPr="00E91716">
        <w:rPr>
          <w:szCs w:val="28"/>
        </w:rPr>
        <w:t>月</w:t>
      </w:r>
      <w:r w:rsidRPr="00E91716">
        <w:rPr>
          <w:szCs w:val="28"/>
        </w:rPr>
        <w:t>30</w:t>
      </w:r>
      <w:r w:rsidRPr="00E91716">
        <w:rPr>
          <w:szCs w:val="28"/>
        </w:rPr>
        <w:t>日，公司与天风证券股份有限公司以及天津银行股份有限公司红鑫支行签订了《募集资金三方监管协议》，该专用账户仅用于本次融资项目募集资金的存储和使用，不得用作其他用途；公司与滨海水业、天风证券股份有限公司、上海浦东发展银行股份有限公司天津分行签订了《募集资金四方监管协议》，该专用账户仅用于实施募集资金投资项目</w:t>
      </w:r>
      <w:r w:rsidRPr="00E91716">
        <w:rPr>
          <w:szCs w:val="28"/>
        </w:rPr>
        <w:t>“</w:t>
      </w:r>
      <w:r w:rsidRPr="00E91716">
        <w:rPr>
          <w:szCs w:val="28"/>
        </w:rPr>
        <w:t>偿还全资子公司滨海水业银行贷款</w:t>
      </w:r>
      <w:r w:rsidRPr="00E91716">
        <w:rPr>
          <w:szCs w:val="28"/>
        </w:rPr>
        <w:t>”</w:t>
      </w:r>
      <w:r w:rsidRPr="00E91716">
        <w:rPr>
          <w:szCs w:val="28"/>
        </w:rPr>
        <w:t>的存储和使用，不得用作其他用途。截至报告期末，协议各方均按照《募集资金三方（四方）监管协议》的规定履行了相关职责。</w:t>
      </w:r>
    </w:p>
    <w:p w:rsidR="00E15A9F" w:rsidRPr="00E91716" w:rsidRDefault="00E15A9F" w:rsidP="00CF4FE3">
      <w:pPr>
        <w:pStyle w:val="2"/>
        <w:spacing w:before="156" w:after="156"/>
        <w:ind w:firstLine="562"/>
      </w:pPr>
      <w:r w:rsidRPr="00E91716">
        <w:t>三、募集资金实际使用情况</w:t>
      </w:r>
    </w:p>
    <w:p w:rsidR="00E15A9F" w:rsidRPr="00E91716" w:rsidRDefault="00FF3395" w:rsidP="00CF4FE3">
      <w:pPr>
        <w:pStyle w:val="3"/>
        <w:spacing w:before="93" w:after="93"/>
        <w:ind w:firstLine="562"/>
      </w:pPr>
      <w:r>
        <w:rPr>
          <w:rFonts w:hint="eastAsia"/>
        </w:rPr>
        <w:t>（一）</w:t>
      </w:r>
      <w:r w:rsidR="00E15A9F" w:rsidRPr="00E91716">
        <w:t>募集资金投资项目的资金使用情况</w:t>
      </w:r>
    </w:p>
    <w:p w:rsidR="00E15A9F" w:rsidRPr="00E91716" w:rsidRDefault="00E15A9F" w:rsidP="00CF4FE3">
      <w:pPr>
        <w:spacing w:beforeLines="0" w:before="0" w:afterLines="0" w:after="0"/>
        <w:ind w:firstLine="480"/>
        <w:rPr>
          <w:szCs w:val="28"/>
        </w:rPr>
      </w:pPr>
      <w:r w:rsidRPr="00E91716">
        <w:rPr>
          <w:szCs w:val="28"/>
        </w:rPr>
        <w:t>详见</w:t>
      </w:r>
      <w:r>
        <w:rPr>
          <w:rFonts w:hint="eastAsia"/>
          <w:szCs w:val="28"/>
        </w:rPr>
        <w:t>“</w:t>
      </w:r>
      <w:r w:rsidRPr="00E91716">
        <w:rPr>
          <w:szCs w:val="28"/>
        </w:rPr>
        <w:t>附表：募集资金承诺项目使用情况对照表</w:t>
      </w:r>
      <w:r>
        <w:rPr>
          <w:rFonts w:hint="eastAsia"/>
          <w:szCs w:val="28"/>
        </w:rPr>
        <w:t>”</w:t>
      </w:r>
      <w:r w:rsidRPr="00E91716">
        <w:rPr>
          <w:szCs w:val="28"/>
        </w:rPr>
        <w:t>。</w:t>
      </w:r>
    </w:p>
    <w:p w:rsidR="00E15A9F" w:rsidRPr="00E91716" w:rsidRDefault="00FF3395" w:rsidP="00CF4FE3">
      <w:pPr>
        <w:pStyle w:val="3"/>
        <w:spacing w:before="93" w:after="93"/>
        <w:ind w:firstLine="562"/>
      </w:pPr>
      <w:r>
        <w:rPr>
          <w:rFonts w:hint="eastAsia"/>
        </w:rPr>
        <w:t>（二）</w:t>
      </w:r>
      <w:r w:rsidR="00E15A9F" w:rsidRPr="00E91716">
        <w:t>募集资金投资项目先期投入及置换情况</w:t>
      </w:r>
    </w:p>
    <w:p w:rsidR="00E15A9F" w:rsidRPr="00E91716" w:rsidRDefault="00E15A9F" w:rsidP="00CF4FE3">
      <w:pPr>
        <w:spacing w:beforeLines="0" w:before="0" w:afterLines="0" w:after="0"/>
        <w:ind w:firstLine="480"/>
        <w:rPr>
          <w:szCs w:val="28"/>
        </w:rPr>
      </w:pPr>
      <w:r w:rsidRPr="00E91716">
        <w:rPr>
          <w:szCs w:val="28"/>
        </w:rPr>
        <w:t>2017</w:t>
      </w:r>
      <w:r w:rsidRPr="00E91716">
        <w:rPr>
          <w:szCs w:val="28"/>
        </w:rPr>
        <w:t>年</w:t>
      </w:r>
      <w:r w:rsidRPr="00E91716">
        <w:rPr>
          <w:szCs w:val="28"/>
        </w:rPr>
        <w:t>2</w:t>
      </w:r>
      <w:r w:rsidRPr="00E91716">
        <w:rPr>
          <w:szCs w:val="28"/>
        </w:rPr>
        <w:t>月</w:t>
      </w:r>
      <w:r w:rsidRPr="00E91716">
        <w:rPr>
          <w:szCs w:val="28"/>
        </w:rPr>
        <w:t>8</w:t>
      </w:r>
      <w:r w:rsidRPr="00E91716">
        <w:rPr>
          <w:szCs w:val="28"/>
        </w:rPr>
        <w:t>日，公司第六届董事会第一次会议审议通过了《关于使用募集资金置换预先已偿还全资子公司滨海水业银行贷款的议案》，同意用</w:t>
      </w:r>
      <w:r w:rsidRPr="00E91716">
        <w:rPr>
          <w:szCs w:val="28"/>
        </w:rPr>
        <w:t>2016</w:t>
      </w:r>
      <w:r w:rsidRPr="00E91716">
        <w:rPr>
          <w:szCs w:val="28"/>
        </w:rPr>
        <w:t>年非公开发行股票募集资金置换预先已偿还的银行贷款，募集资金置换金额为</w:t>
      </w:r>
      <w:r w:rsidRPr="00E91716">
        <w:rPr>
          <w:szCs w:val="28"/>
        </w:rPr>
        <w:t>81,081,410.47</w:t>
      </w:r>
      <w:r w:rsidRPr="00E91716">
        <w:rPr>
          <w:szCs w:val="28"/>
        </w:rPr>
        <w:t>元，滨海水业已于</w:t>
      </w:r>
      <w:r w:rsidRPr="00E91716">
        <w:rPr>
          <w:szCs w:val="28"/>
        </w:rPr>
        <w:t>2017</w:t>
      </w:r>
      <w:r w:rsidRPr="00E91716">
        <w:rPr>
          <w:szCs w:val="28"/>
        </w:rPr>
        <w:t>年</w:t>
      </w:r>
      <w:r w:rsidRPr="00E91716">
        <w:rPr>
          <w:szCs w:val="28"/>
        </w:rPr>
        <w:t>5</w:t>
      </w:r>
      <w:r w:rsidRPr="00E91716">
        <w:rPr>
          <w:szCs w:val="28"/>
        </w:rPr>
        <w:t>月</w:t>
      </w:r>
      <w:r w:rsidRPr="00E91716">
        <w:rPr>
          <w:szCs w:val="28"/>
        </w:rPr>
        <w:t>25</w:t>
      </w:r>
      <w:r w:rsidRPr="00E91716">
        <w:rPr>
          <w:szCs w:val="28"/>
        </w:rPr>
        <w:t>日完成对预先投入自有资金的置换。</w:t>
      </w:r>
    </w:p>
    <w:p w:rsidR="00E15A9F" w:rsidRPr="00E91716" w:rsidRDefault="00FF3395" w:rsidP="00CF4FE3">
      <w:pPr>
        <w:pStyle w:val="3"/>
        <w:spacing w:before="93" w:after="93"/>
        <w:ind w:firstLine="562"/>
      </w:pPr>
      <w:r>
        <w:rPr>
          <w:rFonts w:hint="eastAsia"/>
        </w:rPr>
        <w:t>（三）</w:t>
      </w:r>
      <w:r w:rsidR="00007777">
        <w:t>使用</w:t>
      </w:r>
      <w:r w:rsidR="00E15A9F" w:rsidRPr="00E91716">
        <w:t>闲置募集资金暂时补充流动资金情况</w:t>
      </w:r>
    </w:p>
    <w:p w:rsidR="00E15A9F" w:rsidRPr="00E91716" w:rsidRDefault="00E15A9F" w:rsidP="00CF4FE3">
      <w:pPr>
        <w:spacing w:beforeLines="0" w:before="0" w:afterLines="0" w:after="0"/>
        <w:ind w:firstLine="480"/>
        <w:rPr>
          <w:szCs w:val="28"/>
        </w:rPr>
      </w:pPr>
      <w:r w:rsidRPr="00E91716">
        <w:rPr>
          <w:szCs w:val="28"/>
        </w:rPr>
        <w:t>本报告期内，公司不存</w:t>
      </w:r>
      <w:r w:rsidR="00007777">
        <w:rPr>
          <w:szCs w:val="28"/>
        </w:rPr>
        <w:t>在使用</w:t>
      </w:r>
      <w:r w:rsidRPr="00E91716">
        <w:rPr>
          <w:szCs w:val="28"/>
        </w:rPr>
        <w:t>闲置募集资金暂时补充流动资金情况。</w:t>
      </w:r>
    </w:p>
    <w:p w:rsidR="00E15A9F" w:rsidRPr="00E91716" w:rsidRDefault="00FF3395" w:rsidP="00CF4FE3">
      <w:pPr>
        <w:pStyle w:val="3"/>
        <w:spacing w:before="93" w:after="93"/>
        <w:ind w:firstLine="562"/>
      </w:pPr>
      <w:r>
        <w:rPr>
          <w:rFonts w:hint="eastAsia"/>
        </w:rPr>
        <w:t>（四）</w:t>
      </w:r>
      <w:r w:rsidR="00E15A9F" w:rsidRPr="00E91716">
        <w:t>节余募集资金使用情况</w:t>
      </w:r>
    </w:p>
    <w:p w:rsidR="00E15A9F" w:rsidRPr="00E15A9F" w:rsidRDefault="00E15A9F" w:rsidP="00CF4FE3">
      <w:pPr>
        <w:spacing w:beforeLines="0" w:before="0" w:afterLines="0" w:after="0"/>
        <w:ind w:firstLine="480"/>
        <w:rPr>
          <w:szCs w:val="28"/>
        </w:rPr>
      </w:pPr>
      <w:r w:rsidRPr="00E91716">
        <w:rPr>
          <w:szCs w:val="28"/>
        </w:rPr>
        <w:t>本报告期内，公司不存在节余募集资金。</w:t>
      </w:r>
    </w:p>
    <w:p w:rsidR="00E15A9F" w:rsidRPr="00E91716" w:rsidRDefault="00E15A9F" w:rsidP="00CF4FE3">
      <w:pPr>
        <w:pStyle w:val="2"/>
        <w:spacing w:before="156" w:after="156"/>
        <w:ind w:firstLine="562"/>
      </w:pPr>
      <w:r w:rsidRPr="00E91716">
        <w:t>四、变更</w:t>
      </w:r>
      <w:proofErr w:type="gramStart"/>
      <w:r w:rsidRPr="00E91716">
        <w:t>募投项目</w:t>
      </w:r>
      <w:proofErr w:type="gramEnd"/>
      <w:r w:rsidRPr="00E91716">
        <w:t>的资金使用情况</w:t>
      </w:r>
    </w:p>
    <w:p w:rsidR="00E15A9F" w:rsidRPr="00E91716" w:rsidRDefault="00E15A9F" w:rsidP="00CF4FE3">
      <w:pPr>
        <w:spacing w:beforeLines="0" w:before="0" w:afterLines="0" w:after="0"/>
        <w:ind w:firstLine="480"/>
        <w:rPr>
          <w:szCs w:val="28"/>
        </w:rPr>
      </w:pPr>
      <w:r w:rsidRPr="00E91716">
        <w:rPr>
          <w:szCs w:val="28"/>
        </w:rPr>
        <w:t>报告期内，公司无变更</w:t>
      </w:r>
      <w:proofErr w:type="gramStart"/>
      <w:r w:rsidRPr="00E91716">
        <w:rPr>
          <w:szCs w:val="28"/>
        </w:rPr>
        <w:t>募投项目</w:t>
      </w:r>
      <w:proofErr w:type="gramEnd"/>
      <w:r w:rsidRPr="00E91716">
        <w:rPr>
          <w:szCs w:val="28"/>
        </w:rPr>
        <w:t>的情况。</w:t>
      </w:r>
    </w:p>
    <w:p w:rsidR="00E15A9F" w:rsidRPr="00E91716" w:rsidRDefault="00E15A9F" w:rsidP="00CF4FE3">
      <w:pPr>
        <w:pStyle w:val="2"/>
        <w:spacing w:before="156" w:after="156"/>
        <w:ind w:firstLine="562"/>
      </w:pPr>
      <w:r w:rsidRPr="00E91716">
        <w:lastRenderedPageBreak/>
        <w:t>五、募集资金使用及披露中存在的问题</w:t>
      </w:r>
    </w:p>
    <w:p w:rsidR="00E15A9F" w:rsidRDefault="00E15A9F" w:rsidP="00CF4FE3">
      <w:pPr>
        <w:spacing w:beforeLines="0" w:before="0" w:afterLines="0" w:after="0"/>
        <w:ind w:firstLine="480"/>
        <w:rPr>
          <w:szCs w:val="28"/>
        </w:rPr>
      </w:pPr>
      <w:r w:rsidRPr="00E91716">
        <w:rPr>
          <w:szCs w:val="28"/>
        </w:rPr>
        <w:t>报告期内，公司募集资金的使用严格按照中国证券监督管理委员会《上市公司监管指引第</w:t>
      </w:r>
      <w:r w:rsidRPr="00E91716">
        <w:rPr>
          <w:szCs w:val="28"/>
        </w:rPr>
        <w:t>2</w:t>
      </w:r>
      <w:r w:rsidRPr="00E91716">
        <w:rPr>
          <w:szCs w:val="28"/>
        </w:rPr>
        <w:t>号</w:t>
      </w:r>
      <w:r w:rsidRPr="00E91716">
        <w:rPr>
          <w:szCs w:val="28"/>
        </w:rPr>
        <w:t>——</w:t>
      </w:r>
      <w:r w:rsidRPr="00E91716">
        <w:rPr>
          <w:szCs w:val="28"/>
        </w:rPr>
        <w:t>上市公司募集资金管理和使用的监管要求》、《深圳证券交易所股票上市规则》、《深圳证券交易所主板上市公司规范运作指引》等文件规定和公司《募集资金管理制度》执行，公司已及时、真实、准确、完整地披露了非公开发行募集资金使用的相关情况，不存在募集资金违规管理情况。</w:t>
      </w:r>
    </w:p>
    <w:p w:rsidR="00FF3395" w:rsidRPr="00CF4FE3" w:rsidRDefault="00FF3395" w:rsidP="00CF4FE3">
      <w:pPr>
        <w:pStyle w:val="2"/>
        <w:spacing w:before="156" w:after="156"/>
        <w:ind w:firstLine="562"/>
      </w:pPr>
      <w:r w:rsidRPr="00CF4FE3">
        <w:t>六</w:t>
      </w:r>
      <w:r w:rsidRPr="00CF4FE3">
        <w:rPr>
          <w:rFonts w:hint="eastAsia"/>
        </w:rPr>
        <w:t>、</w:t>
      </w:r>
      <w:r w:rsidRPr="00CF4FE3">
        <w:t>保荐机构核查意见</w:t>
      </w:r>
    </w:p>
    <w:p w:rsidR="00FF3395" w:rsidRPr="00FF3395" w:rsidRDefault="00FF3395" w:rsidP="00CF4FE3">
      <w:pPr>
        <w:spacing w:beforeLines="0" w:before="0" w:afterLines="0" w:after="0"/>
        <w:ind w:firstLine="480"/>
        <w:rPr>
          <w:szCs w:val="28"/>
        </w:rPr>
      </w:pPr>
      <w:r w:rsidRPr="00FF3395">
        <w:rPr>
          <w:rFonts w:hint="eastAsia"/>
          <w:szCs w:val="28"/>
        </w:rPr>
        <w:t>保荐机构认真审阅了渤海股份编制并出具的《</w:t>
      </w:r>
      <w:r>
        <w:rPr>
          <w:rFonts w:hint="eastAsia"/>
          <w:szCs w:val="28"/>
        </w:rPr>
        <w:t>201</w:t>
      </w:r>
      <w:r>
        <w:rPr>
          <w:szCs w:val="28"/>
        </w:rPr>
        <w:t>8</w:t>
      </w:r>
      <w:r w:rsidR="004B1A17">
        <w:rPr>
          <w:rFonts w:hint="eastAsia"/>
          <w:szCs w:val="28"/>
        </w:rPr>
        <w:t>年度募集资金存放与使用情况专项报告》，并通过资料审阅、与上市公司相关人员</w:t>
      </w:r>
      <w:r w:rsidR="004F0AEE">
        <w:rPr>
          <w:rFonts w:hint="eastAsia"/>
          <w:szCs w:val="28"/>
        </w:rPr>
        <w:t>沟通等多种方式，对公司募集资金的存放与</w:t>
      </w:r>
      <w:r w:rsidRPr="00FF3395">
        <w:rPr>
          <w:rFonts w:hint="eastAsia"/>
          <w:szCs w:val="28"/>
        </w:rPr>
        <w:t>使用进行了核查。</w:t>
      </w:r>
    </w:p>
    <w:p w:rsidR="00FF3395" w:rsidRPr="00E91716" w:rsidRDefault="00FF3395" w:rsidP="00CF4FE3">
      <w:pPr>
        <w:spacing w:beforeLines="0" w:before="0" w:afterLines="0" w:after="0"/>
        <w:ind w:firstLine="480"/>
        <w:rPr>
          <w:szCs w:val="28"/>
        </w:rPr>
      </w:pPr>
      <w:r w:rsidRPr="00FF3395">
        <w:rPr>
          <w:rFonts w:hint="eastAsia"/>
          <w:szCs w:val="28"/>
        </w:rPr>
        <w:t>经核查，保荐机构认为：</w:t>
      </w:r>
      <w:r w:rsidR="00200FA0">
        <w:rPr>
          <w:rFonts w:hint="eastAsia"/>
          <w:szCs w:val="28"/>
        </w:rPr>
        <w:t>截至</w:t>
      </w:r>
      <w:r w:rsidR="00200FA0">
        <w:rPr>
          <w:rFonts w:hint="eastAsia"/>
          <w:szCs w:val="28"/>
        </w:rPr>
        <w:t>2</w:t>
      </w:r>
      <w:r w:rsidR="00200FA0">
        <w:rPr>
          <w:szCs w:val="28"/>
        </w:rPr>
        <w:t>018</w:t>
      </w:r>
      <w:r w:rsidR="00200FA0">
        <w:rPr>
          <w:szCs w:val="28"/>
        </w:rPr>
        <w:t>年</w:t>
      </w:r>
      <w:r w:rsidR="008C338E">
        <w:rPr>
          <w:szCs w:val="28"/>
        </w:rPr>
        <w:t>12</w:t>
      </w:r>
      <w:r w:rsidR="00200FA0">
        <w:rPr>
          <w:rFonts w:hint="eastAsia"/>
          <w:szCs w:val="28"/>
        </w:rPr>
        <w:t>月</w:t>
      </w:r>
      <w:r w:rsidR="00200FA0">
        <w:rPr>
          <w:rFonts w:hint="eastAsia"/>
          <w:szCs w:val="28"/>
        </w:rPr>
        <w:t>3</w:t>
      </w:r>
      <w:r w:rsidR="008C338E">
        <w:rPr>
          <w:szCs w:val="28"/>
        </w:rPr>
        <w:t>1</w:t>
      </w:r>
      <w:r w:rsidR="00200FA0">
        <w:rPr>
          <w:szCs w:val="28"/>
        </w:rPr>
        <w:t>日</w:t>
      </w:r>
      <w:r w:rsidR="00200FA0">
        <w:rPr>
          <w:rFonts w:hint="eastAsia"/>
          <w:szCs w:val="28"/>
        </w:rPr>
        <w:t>，公司</w:t>
      </w:r>
      <w:r w:rsidR="00200FA0">
        <w:rPr>
          <w:rFonts w:hint="eastAsia"/>
          <w:szCs w:val="28"/>
        </w:rPr>
        <w:t>2</w:t>
      </w:r>
      <w:r w:rsidR="00200FA0">
        <w:rPr>
          <w:szCs w:val="28"/>
        </w:rPr>
        <w:t>016</w:t>
      </w:r>
      <w:r w:rsidR="00200FA0">
        <w:rPr>
          <w:szCs w:val="28"/>
        </w:rPr>
        <w:t>年非公开发行募集资金已使用完毕且相关募集资金账户已履行</w:t>
      </w:r>
      <w:r w:rsidR="004F0AEE">
        <w:rPr>
          <w:szCs w:val="28"/>
        </w:rPr>
        <w:t>完毕</w:t>
      </w:r>
      <w:r w:rsidR="00200FA0">
        <w:rPr>
          <w:szCs w:val="28"/>
        </w:rPr>
        <w:t>注销程序</w:t>
      </w:r>
      <w:r w:rsidR="00200FA0">
        <w:rPr>
          <w:rFonts w:hint="eastAsia"/>
          <w:szCs w:val="28"/>
        </w:rPr>
        <w:t>。</w:t>
      </w:r>
      <w:r w:rsidRPr="00FF3395">
        <w:rPr>
          <w:rFonts w:hint="eastAsia"/>
          <w:szCs w:val="28"/>
        </w:rPr>
        <w:t>上市公司</w:t>
      </w:r>
      <w:r w:rsidR="00200FA0" w:rsidRPr="00200FA0">
        <w:rPr>
          <w:rFonts w:hint="eastAsia"/>
          <w:szCs w:val="28"/>
        </w:rPr>
        <w:t>编制的《</w:t>
      </w:r>
      <w:r w:rsidR="00CD705A" w:rsidRPr="00CD705A">
        <w:rPr>
          <w:rFonts w:hint="eastAsia"/>
          <w:szCs w:val="28"/>
        </w:rPr>
        <w:t>2018</w:t>
      </w:r>
      <w:r w:rsidR="00CD705A" w:rsidRPr="00CD705A">
        <w:rPr>
          <w:rFonts w:hint="eastAsia"/>
          <w:szCs w:val="28"/>
        </w:rPr>
        <w:t>年度募集资金存放与使用情况专项报告</w:t>
      </w:r>
      <w:r w:rsidR="00200FA0" w:rsidRPr="00200FA0">
        <w:rPr>
          <w:rFonts w:hint="eastAsia"/>
          <w:szCs w:val="28"/>
        </w:rPr>
        <w:t>》中关于公司</w:t>
      </w:r>
      <w:r w:rsidR="00DB027C">
        <w:rPr>
          <w:rFonts w:hint="eastAsia"/>
          <w:szCs w:val="28"/>
        </w:rPr>
        <w:t>2</w:t>
      </w:r>
      <w:r w:rsidR="00DB027C">
        <w:rPr>
          <w:szCs w:val="28"/>
        </w:rPr>
        <w:t>016</w:t>
      </w:r>
      <w:r w:rsidR="00DB027C">
        <w:rPr>
          <w:szCs w:val="28"/>
        </w:rPr>
        <w:t>年</w:t>
      </w:r>
      <w:r w:rsidR="00CD705A">
        <w:rPr>
          <w:szCs w:val="28"/>
        </w:rPr>
        <w:t>非</w:t>
      </w:r>
      <w:r w:rsidR="00200FA0" w:rsidRPr="00200FA0">
        <w:rPr>
          <w:rFonts w:hint="eastAsia"/>
          <w:szCs w:val="28"/>
        </w:rPr>
        <w:t>公开发行募集资金</w:t>
      </w:r>
      <w:r w:rsidR="00200FA0" w:rsidRPr="00200FA0">
        <w:rPr>
          <w:rFonts w:hint="eastAsia"/>
          <w:szCs w:val="28"/>
        </w:rPr>
        <w:t>201</w:t>
      </w:r>
      <w:r w:rsidR="00DB027C">
        <w:rPr>
          <w:szCs w:val="28"/>
        </w:rPr>
        <w:t>8</w:t>
      </w:r>
      <w:r w:rsidR="00200FA0" w:rsidRPr="00200FA0">
        <w:rPr>
          <w:rFonts w:hint="eastAsia"/>
          <w:szCs w:val="28"/>
        </w:rPr>
        <w:t>年度</w:t>
      </w:r>
      <w:r w:rsidR="00DB027C">
        <w:rPr>
          <w:rFonts w:hint="eastAsia"/>
          <w:szCs w:val="28"/>
        </w:rPr>
        <w:t>存放</w:t>
      </w:r>
      <w:r w:rsidR="00200FA0" w:rsidRPr="00200FA0">
        <w:rPr>
          <w:rFonts w:hint="eastAsia"/>
          <w:szCs w:val="28"/>
        </w:rPr>
        <w:t>与使用情况的披露与实际情况相符</w:t>
      </w:r>
      <w:r w:rsidR="00DB027C">
        <w:rPr>
          <w:rFonts w:hint="eastAsia"/>
          <w:szCs w:val="28"/>
        </w:rPr>
        <w:t>，</w:t>
      </w:r>
      <w:r w:rsidRPr="00FF3395">
        <w:rPr>
          <w:rFonts w:hint="eastAsia"/>
          <w:szCs w:val="28"/>
        </w:rPr>
        <w:t>符合</w:t>
      </w:r>
      <w:r w:rsidR="00DB027C" w:rsidRPr="00DB027C">
        <w:rPr>
          <w:rFonts w:hint="eastAsia"/>
          <w:szCs w:val="28"/>
        </w:rPr>
        <w:t>中国证监会和深圳证券交易所关于募集资金管理的相关规定</w:t>
      </w:r>
      <w:r w:rsidR="00DB027C">
        <w:rPr>
          <w:rFonts w:hint="eastAsia"/>
          <w:szCs w:val="28"/>
        </w:rPr>
        <w:t>。</w:t>
      </w:r>
    </w:p>
    <w:p w:rsidR="00E15A9F" w:rsidRDefault="00E15A9F" w:rsidP="00CF4FE3">
      <w:pPr>
        <w:widowControl/>
        <w:spacing w:beforeLines="0" w:before="0" w:afterLines="0" w:after="0" w:line="240" w:lineRule="auto"/>
        <w:ind w:firstLineChars="0" w:firstLine="0"/>
        <w:jc w:val="left"/>
        <w:rPr>
          <w:rFonts w:eastAsia="宋体" w:cs="Times New Roman"/>
          <w:b/>
          <w:kern w:val="28"/>
          <w:sz w:val="21"/>
          <w:szCs w:val="21"/>
        </w:rPr>
      </w:pPr>
      <w:r>
        <w:rPr>
          <w:szCs w:val="21"/>
        </w:rPr>
        <w:br w:type="page"/>
      </w:r>
    </w:p>
    <w:p w:rsidR="00E15A9F" w:rsidRDefault="00E15A9F" w:rsidP="00CF4FE3">
      <w:pPr>
        <w:pStyle w:val="Section"/>
        <w:keepNext w:val="0"/>
        <w:keepLines w:val="0"/>
        <w:spacing w:before="0" w:after="0" w:line="240" w:lineRule="exact"/>
        <w:ind w:firstLine="360"/>
        <w:outlineLvl w:val="3"/>
        <w:rPr>
          <w:rFonts w:hint="default"/>
          <w:szCs w:val="21"/>
        </w:rPr>
        <w:sectPr w:rsidR="00E15A9F" w:rsidSect="00501795">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cols w:space="425"/>
          <w:docGrid w:type="lines" w:linePitch="312"/>
        </w:sectPr>
      </w:pPr>
    </w:p>
    <w:p w:rsidR="00E15A9F" w:rsidRPr="00E91716" w:rsidRDefault="00E15A9F" w:rsidP="00CF4FE3">
      <w:pPr>
        <w:pStyle w:val="Section"/>
        <w:keepNext w:val="0"/>
        <w:keepLines w:val="0"/>
        <w:spacing w:before="0" w:after="0" w:line="240" w:lineRule="exact"/>
        <w:ind w:firstLine="360"/>
        <w:outlineLvl w:val="3"/>
        <w:rPr>
          <w:rFonts w:hint="default"/>
          <w:szCs w:val="21"/>
        </w:rPr>
      </w:pPr>
      <w:r w:rsidRPr="00E91716">
        <w:rPr>
          <w:rFonts w:hint="default"/>
          <w:szCs w:val="21"/>
        </w:rPr>
        <w:lastRenderedPageBreak/>
        <w:t>附表：募集资金承诺项目使用情况对照表</w:t>
      </w:r>
      <w:proofErr w:type="gramStart"/>
      <w:r w:rsidRPr="00E91716">
        <w:rPr>
          <w:rFonts w:hint="default"/>
          <w:szCs w:val="21"/>
        </w:rPr>
        <w:t xml:space="preserve">　　　　　　　　　　　　　</w:t>
      </w:r>
      <w:r w:rsidR="00BE3F1A">
        <w:rPr>
          <w:rFonts w:hint="default"/>
          <w:szCs w:val="21"/>
        </w:rPr>
        <w:t xml:space="preserve">　　　　　　　　</w:t>
      </w:r>
      <w:r>
        <w:rPr>
          <w:rFonts w:hint="default"/>
          <w:szCs w:val="21"/>
        </w:rPr>
        <w:t xml:space="preserve">　　　　　　　　　　　　　　　　　　　　</w:t>
      </w:r>
      <w:proofErr w:type="gramEnd"/>
      <w:r w:rsidRPr="00E91716">
        <w:rPr>
          <w:rFonts w:hint="default"/>
          <w:b w:val="0"/>
          <w:bCs/>
          <w:szCs w:val="21"/>
        </w:rPr>
        <w:t>单位：</w:t>
      </w:r>
      <w:r>
        <w:rPr>
          <w:b w:val="0"/>
          <w:bCs/>
          <w:szCs w:val="21"/>
        </w:rPr>
        <w:t>万</w:t>
      </w:r>
      <w:r w:rsidRPr="00E91716">
        <w:rPr>
          <w:rFonts w:hint="default"/>
          <w:b w:val="0"/>
          <w:bCs/>
          <w:szCs w:val="21"/>
        </w:rPr>
        <w:t>元</w:t>
      </w:r>
    </w:p>
    <w:tbl>
      <w:tblPr>
        <w:tblW w:w="14850" w:type="dxa"/>
        <w:tblLayout w:type="fixed"/>
        <w:tblLook w:val="0000" w:firstRow="0" w:lastRow="0" w:firstColumn="0" w:lastColumn="0" w:noHBand="0" w:noVBand="0"/>
      </w:tblPr>
      <w:tblGrid>
        <w:gridCol w:w="2263"/>
        <w:gridCol w:w="1134"/>
        <w:gridCol w:w="1247"/>
        <w:gridCol w:w="29"/>
        <w:gridCol w:w="1134"/>
        <w:gridCol w:w="1276"/>
        <w:gridCol w:w="992"/>
        <w:gridCol w:w="1105"/>
        <w:gridCol w:w="1276"/>
        <w:gridCol w:w="992"/>
        <w:gridCol w:w="851"/>
        <w:gridCol w:w="850"/>
        <w:gridCol w:w="851"/>
        <w:gridCol w:w="850"/>
      </w:tblGrid>
      <w:tr w:rsidR="00E15A9F" w:rsidRPr="00E15A9F" w:rsidTr="00E15A9F">
        <w:trPr>
          <w:trHeight w:val="315"/>
        </w:trPr>
        <w:tc>
          <w:tcPr>
            <w:tcW w:w="5807" w:type="dxa"/>
            <w:gridSpan w:val="5"/>
            <w:tcBorders>
              <w:top w:val="single" w:sz="4" w:space="0" w:color="auto"/>
              <w:left w:val="single" w:sz="4" w:space="0" w:color="auto"/>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募集资金总额</w:t>
            </w:r>
          </w:p>
        </w:tc>
        <w:tc>
          <w:tcPr>
            <w:tcW w:w="2268" w:type="dxa"/>
            <w:gridSpan w:val="2"/>
            <w:tcBorders>
              <w:top w:val="single" w:sz="4" w:space="0" w:color="auto"/>
              <w:left w:val="nil"/>
              <w:bottom w:val="single" w:sz="4" w:space="0" w:color="auto"/>
              <w:right w:val="single" w:sz="4" w:space="0" w:color="auto"/>
            </w:tcBorders>
            <w:vAlign w:val="center"/>
          </w:tcPr>
          <w:p w:rsidR="00E15A9F" w:rsidRPr="00E15A9F" w:rsidRDefault="00AB4207" w:rsidP="00CF4FE3">
            <w:pPr>
              <w:spacing w:beforeLines="0" w:before="0" w:afterLines="0" w:after="0" w:line="240" w:lineRule="auto"/>
              <w:ind w:firstLineChars="0" w:firstLine="0"/>
              <w:jc w:val="right"/>
              <w:rPr>
                <w:rFonts w:cs="Times New Roman"/>
                <w:b/>
                <w:sz w:val="21"/>
                <w:szCs w:val="21"/>
              </w:rPr>
            </w:pPr>
            <w:r w:rsidRPr="00AB4207">
              <w:rPr>
                <w:rFonts w:cs="Times New Roman"/>
                <w:b/>
                <w:bCs/>
                <w:sz w:val="21"/>
                <w:szCs w:val="21"/>
              </w:rPr>
              <w:t>87,858.14</w:t>
            </w:r>
          </w:p>
        </w:tc>
        <w:tc>
          <w:tcPr>
            <w:tcW w:w="5074" w:type="dxa"/>
            <w:gridSpan w:val="5"/>
            <w:tcBorders>
              <w:top w:val="single" w:sz="4" w:space="0" w:color="auto"/>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本年度投入募集资金总额</w:t>
            </w:r>
          </w:p>
        </w:tc>
        <w:tc>
          <w:tcPr>
            <w:tcW w:w="1701" w:type="dxa"/>
            <w:gridSpan w:val="2"/>
            <w:tcBorders>
              <w:top w:val="single" w:sz="4" w:space="0" w:color="auto"/>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right"/>
              <w:rPr>
                <w:rFonts w:cs="Times New Roman"/>
                <w:b/>
                <w:color w:val="000000"/>
                <w:kern w:val="0"/>
                <w:sz w:val="21"/>
                <w:szCs w:val="21"/>
                <w:lang w:bidi="ar"/>
              </w:rPr>
            </w:pPr>
            <w:r>
              <w:rPr>
                <w:rFonts w:cs="Times New Roman"/>
                <w:b/>
                <w:color w:val="000000"/>
                <w:kern w:val="0"/>
                <w:sz w:val="21"/>
                <w:szCs w:val="21"/>
                <w:lang w:bidi="ar"/>
              </w:rPr>
              <w:t>0.00</w:t>
            </w:r>
          </w:p>
        </w:tc>
      </w:tr>
      <w:tr w:rsidR="00E15A9F" w:rsidRPr="00E15A9F" w:rsidTr="00E15A9F">
        <w:trPr>
          <w:trHeight w:val="270"/>
        </w:trPr>
        <w:tc>
          <w:tcPr>
            <w:tcW w:w="5807" w:type="dxa"/>
            <w:gridSpan w:val="5"/>
            <w:tcBorders>
              <w:top w:val="single" w:sz="4" w:space="0" w:color="auto"/>
              <w:left w:val="single" w:sz="4" w:space="0" w:color="auto"/>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变更用途的募集资金总额</w:t>
            </w:r>
          </w:p>
        </w:tc>
        <w:tc>
          <w:tcPr>
            <w:tcW w:w="2268" w:type="dxa"/>
            <w:gridSpan w:val="2"/>
            <w:tcBorders>
              <w:top w:val="single" w:sz="4" w:space="0" w:color="auto"/>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 xml:space="preserve">                  -   </w:t>
            </w:r>
          </w:p>
        </w:tc>
        <w:tc>
          <w:tcPr>
            <w:tcW w:w="5074" w:type="dxa"/>
            <w:gridSpan w:val="5"/>
            <w:vMerge w:val="restart"/>
            <w:tcBorders>
              <w:top w:val="single" w:sz="4" w:space="0" w:color="auto"/>
              <w:left w:val="single" w:sz="4" w:space="0" w:color="auto"/>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已累计投入募集资金总额</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E15A9F" w:rsidRPr="00E15A9F" w:rsidRDefault="00AB4207" w:rsidP="00CF4FE3">
            <w:pPr>
              <w:spacing w:beforeLines="0" w:before="0" w:afterLines="0" w:after="0" w:line="240" w:lineRule="auto"/>
              <w:ind w:firstLineChars="0" w:firstLine="0"/>
              <w:jc w:val="right"/>
              <w:rPr>
                <w:rFonts w:cs="Times New Roman"/>
                <w:sz w:val="21"/>
                <w:szCs w:val="21"/>
              </w:rPr>
            </w:pPr>
            <w:r w:rsidRPr="00AB4207">
              <w:rPr>
                <w:rFonts w:cs="Times New Roman"/>
                <w:b/>
                <w:color w:val="000000"/>
                <w:kern w:val="0"/>
                <w:sz w:val="21"/>
                <w:szCs w:val="21"/>
                <w:lang w:bidi="ar"/>
              </w:rPr>
              <w:t>87,858.14</w:t>
            </w:r>
          </w:p>
        </w:tc>
      </w:tr>
      <w:tr w:rsidR="00E15A9F" w:rsidRPr="00E15A9F" w:rsidTr="00E15A9F">
        <w:trPr>
          <w:trHeight w:val="201"/>
        </w:trPr>
        <w:tc>
          <w:tcPr>
            <w:tcW w:w="5807" w:type="dxa"/>
            <w:gridSpan w:val="5"/>
            <w:tcBorders>
              <w:top w:val="single" w:sz="4" w:space="0" w:color="auto"/>
              <w:left w:val="single" w:sz="4" w:space="0" w:color="auto"/>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变更用途的募集资金总额比例</w:t>
            </w:r>
          </w:p>
        </w:tc>
        <w:tc>
          <w:tcPr>
            <w:tcW w:w="2268" w:type="dxa"/>
            <w:gridSpan w:val="2"/>
            <w:tcBorders>
              <w:top w:val="single" w:sz="4" w:space="0" w:color="auto"/>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 xml:space="preserve">                  -   </w:t>
            </w:r>
          </w:p>
        </w:tc>
        <w:tc>
          <w:tcPr>
            <w:tcW w:w="5074" w:type="dxa"/>
            <w:gridSpan w:val="5"/>
            <w:vMerge/>
            <w:tcBorders>
              <w:top w:val="single" w:sz="4" w:space="0" w:color="auto"/>
              <w:left w:val="single" w:sz="4" w:space="0" w:color="auto"/>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p>
        </w:tc>
      </w:tr>
      <w:tr w:rsidR="00E15A9F" w:rsidRPr="00E15A9F" w:rsidTr="00BE3F1A">
        <w:trPr>
          <w:trHeight w:val="1305"/>
        </w:trPr>
        <w:tc>
          <w:tcPr>
            <w:tcW w:w="2263" w:type="dxa"/>
            <w:tcBorders>
              <w:top w:val="nil"/>
              <w:left w:val="single" w:sz="4" w:space="0" w:color="auto"/>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承诺投资项目</w:t>
            </w:r>
          </w:p>
        </w:tc>
        <w:tc>
          <w:tcPr>
            <w:tcW w:w="1134"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已变更项目，含部分变更（如有）</w:t>
            </w:r>
          </w:p>
        </w:tc>
        <w:tc>
          <w:tcPr>
            <w:tcW w:w="1276" w:type="dxa"/>
            <w:gridSpan w:val="2"/>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募集资金承诺投资总额</w:t>
            </w:r>
          </w:p>
        </w:tc>
        <w:tc>
          <w:tcPr>
            <w:tcW w:w="1134"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调整后投资总额</w:t>
            </w:r>
          </w:p>
        </w:tc>
        <w:tc>
          <w:tcPr>
            <w:tcW w:w="1276"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截至期末承诺投入金额</w:t>
            </w:r>
            <w:r w:rsidRPr="00E15A9F">
              <w:rPr>
                <w:rFonts w:cs="Times New Roman"/>
                <w:sz w:val="21"/>
                <w:szCs w:val="21"/>
              </w:rPr>
              <w:t>(1)</w:t>
            </w:r>
          </w:p>
        </w:tc>
        <w:tc>
          <w:tcPr>
            <w:tcW w:w="992"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本年度投入金额</w:t>
            </w:r>
          </w:p>
        </w:tc>
        <w:tc>
          <w:tcPr>
            <w:tcW w:w="1105"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截至期末累计投入金额</w:t>
            </w:r>
            <w:r w:rsidRPr="00E15A9F">
              <w:rPr>
                <w:rFonts w:cs="Times New Roman"/>
                <w:sz w:val="21"/>
                <w:szCs w:val="21"/>
              </w:rPr>
              <w:t>(2)</w:t>
            </w:r>
          </w:p>
        </w:tc>
        <w:tc>
          <w:tcPr>
            <w:tcW w:w="1276"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截至期末累计投入金额与承诺投入金额的差额</w:t>
            </w:r>
            <w:r w:rsidRPr="00E15A9F">
              <w:rPr>
                <w:rFonts w:cs="Times New Roman"/>
                <w:sz w:val="21"/>
                <w:szCs w:val="21"/>
              </w:rPr>
              <w:t>(3)</w:t>
            </w:r>
            <w:r w:rsidRPr="00E15A9F">
              <w:rPr>
                <w:rFonts w:cs="Times New Roman"/>
                <w:sz w:val="21"/>
                <w:szCs w:val="21"/>
              </w:rPr>
              <w:t>＝</w:t>
            </w:r>
            <w:r w:rsidRPr="00E15A9F">
              <w:rPr>
                <w:rFonts w:cs="Times New Roman"/>
                <w:sz w:val="21"/>
                <w:szCs w:val="21"/>
              </w:rPr>
              <w:t>(2)-(1)</w:t>
            </w:r>
          </w:p>
        </w:tc>
        <w:tc>
          <w:tcPr>
            <w:tcW w:w="992"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截至期末投入进度（</w:t>
            </w:r>
            <w:r w:rsidRPr="00E15A9F">
              <w:rPr>
                <w:rFonts w:cs="Times New Roman"/>
                <w:sz w:val="21"/>
                <w:szCs w:val="21"/>
              </w:rPr>
              <w:t>%</w:t>
            </w:r>
            <w:r w:rsidRPr="00E15A9F">
              <w:rPr>
                <w:rFonts w:cs="Times New Roman"/>
                <w:sz w:val="21"/>
                <w:szCs w:val="21"/>
              </w:rPr>
              <w:t>）</w:t>
            </w:r>
            <w:r w:rsidRPr="00E15A9F">
              <w:rPr>
                <w:rFonts w:cs="Times New Roman"/>
                <w:sz w:val="21"/>
                <w:szCs w:val="21"/>
              </w:rPr>
              <w:t>(4)</w:t>
            </w:r>
            <w:r w:rsidRPr="00E15A9F">
              <w:rPr>
                <w:rFonts w:cs="Times New Roman"/>
                <w:sz w:val="21"/>
                <w:szCs w:val="21"/>
              </w:rPr>
              <w:t>＝</w:t>
            </w:r>
            <w:r w:rsidRPr="00E15A9F">
              <w:rPr>
                <w:rFonts w:cs="Times New Roman"/>
                <w:sz w:val="21"/>
                <w:szCs w:val="21"/>
              </w:rPr>
              <w:t>(2)/(1)</w:t>
            </w:r>
          </w:p>
        </w:tc>
        <w:tc>
          <w:tcPr>
            <w:tcW w:w="851"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项目达到预定可使用状态日期</w:t>
            </w:r>
          </w:p>
        </w:tc>
        <w:tc>
          <w:tcPr>
            <w:tcW w:w="850"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本年度实现的效益</w:t>
            </w:r>
          </w:p>
        </w:tc>
        <w:tc>
          <w:tcPr>
            <w:tcW w:w="851"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是否达到预计效益</w:t>
            </w:r>
          </w:p>
        </w:tc>
        <w:tc>
          <w:tcPr>
            <w:tcW w:w="850"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项目可行性是否发生重大变化</w:t>
            </w:r>
          </w:p>
        </w:tc>
      </w:tr>
      <w:tr w:rsidR="00E15A9F" w:rsidRPr="00E15A9F" w:rsidTr="00BE3F1A">
        <w:trPr>
          <w:trHeight w:val="70"/>
        </w:trPr>
        <w:tc>
          <w:tcPr>
            <w:tcW w:w="2263" w:type="dxa"/>
            <w:tcBorders>
              <w:top w:val="nil"/>
              <w:left w:val="single" w:sz="4" w:space="0" w:color="auto"/>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收购嘉诚环保</w:t>
            </w:r>
            <w:r w:rsidRPr="00E15A9F">
              <w:rPr>
                <w:rFonts w:cs="Times New Roman"/>
                <w:sz w:val="21"/>
                <w:szCs w:val="21"/>
              </w:rPr>
              <w:t>55%</w:t>
            </w:r>
            <w:r w:rsidRPr="00E15A9F">
              <w:rPr>
                <w:rFonts w:cs="Times New Roman"/>
                <w:sz w:val="21"/>
                <w:szCs w:val="21"/>
              </w:rPr>
              <w:t>的股权</w:t>
            </w:r>
          </w:p>
        </w:tc>
        <w:tc>
          <w:tcPr>
            <w:tcW w:w="1134"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无</w:t>
            </w:r>
          </w:p>
        </w:tc>
        <w:tc>
          <w:tcPr>
            <w:tcW w:w="1276" w:type="dxa"/>
            <w:gridSpan w:val="2"/>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79,750.00</w:t>
            </w:r>
          </w:p>
        </w:tc>
        <w:tc>
          <w:tcPr>
            <w:tcW w:w="1134"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79,750.00</w:t>
            </w:r>
          </w:p>
        </w:tc>
        <w:tc>
          <w:tcPr>
            <w:tcW w:w="1276"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79,750.00</w:t>
            </w:r>
          </w:p>
        </w:tc>
        <w:tc>
          <w:tcPr>
            <w:tcW w:w="992"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0</w:t>
            </w:r>
            <w:r>
              <w:rPr>
                <w:rFonts w:cs="Times New Roman"/>
                <w:sz w:val="21"/>
                <w:szCs w:val="21"/>
              </w:rPr>
              <w:t>.00</w:t>
            </w:r>
          </w:p>
        </w:tc>
        <w:tc>
          <w:tcPr>
            <w:tcW w:w="1105"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79,750.00</w:t>
            </w:r>
          </w:p>
        </w:tc>
        <w:tc>
          <w:tcPr>
            <w:tcW w:w="1276" w:type="dxa"/>
            <w:tcBorders>
              <w:top w:val="nil"/>
              <w:left w:val="nil"/>
              <w:bottom w:val="single" w:sz="4" w:space="0" w:color="auto"/>
              <w:right w:val="single" w:sz="4" w:space="0" w:color="auto"/>
            </w:tcBorders>
            <w:vAlign w:val="center"/>
          </w:tcPr>
          <w:p w:rsidR="00E15A9F" w:rsidRPr="00E15A9F" w:rsidRDefault="00FF358C"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0</w:t>
            </w:r>
            <w:r>
              <w:rPr>
                <w:rFonts w:cs="Times New Roman"/>
                <w:sz w:val="21"/>
                <w:szCs w:val="21"/>
              </w:rPr>
              <w:t>.00</w:t>
            </w:r>
          </w:p>
        </w:tc>
        <w:tc>
          <w:tcPr>
            <w:tcW w:w="992"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100%</w:t>
            </w:r>
          </w:p>
        </w:tc>
        <w:tc>
          <w:tcPr>
            <w:tcW w:w="851"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不适用</w:t>
            </w:r>
          </w:p>
        </w:tc>
        <w:tc>
          <w:tcPr>
            <w:tcW w:w="850"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不适用</w:t>
            </w:r>
          </w:p>
        </w:tc>
        <w:tc>
          <w:tcPr>
            <w:tcW w:w="851"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不适用</w:t>
            </w:r>
          </w:p>
        </w:tc>
        <w:tc>
          <w:tcPr>
            <w:tcW w:w="850" w:type="dxa"/>
            <w:tcBorders>
              <w:top w:val="nil"/>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否</w:t>
            </w:r>
          </w:p>
        </w:tc>
      </w:tr>
      <w:tr w:rsidR="00FF358C" w:rsidRPr="00E15A9F" w:rsidTr="00BE3F1A">
        <w:trPr>
          <w:trHeight w:val="70"/>
        </w:trPr>
        <w:tc>
          <w:tcPr>
            <w:tcW w:w="2263" w:type="dxa"/>
            <w:tcBorders>
              <w:top w:val="nil"/>
              <w:left w:val="single" w:sz="4" w:space="0" w:color="auto"/>
              <w:bottom w:val="single" w:sz="4" w:space="0" w:color="auto"/>
              <w:right w:val="single" w:sz="4" w:space="0" w:color="auto"/>
            </w:tcBorders>
            <w:vAlign w:val="center"/>
          </w:tcPr>
          <w:p w:rsidR="00FF358C" w:rsidRPr="00E15A9F" w:rsidRDefault="00FF358C" w:rsidP="00FF358C">
            <w:pPr>
              <w:spacing w:beforeLines="0" w:before="0" w:afterLines="0" w:after="0" w:line="240" w:lineRule="auto"/>
              <w:ind w:firstLineChars="0" w:firstLine="0"/>
              <w:jc w:val="left"/>
              <w:rPr>
                <w:rFonts w:cs="Times New Roman"/>
                <w:sz w:val="21"/>
                <w:szCs w:val="21"/>
              </w:rPr>
            </w:pPr>
            <w:r w:rsidRPr="00E15A9F">
              <w:rPr>
                <w:rFonts w:cs="Times New Roman"/>
                <w:sz w:val="21"/>
                <w:szCs w:val="21"/>
              </w:rPr>
              <w:t>偿还</w:t>
            </w:r>
            <w:proofErr w:type="gramStart"/>
            <w:r w:rsidRPr="00E15A9F">
              <w:rPr>
                <w:rFonts w:cs="Times New Roman"/>
                <w:sz w:val="21"/>
                <w:szCs w:val="21"/>
              </w:rPr>
              <w:t>滨海水业</w:t>
            </w:r>
            <w:proofErr w:type="gramEnd"/>
            <w:r w:rsidRPr="00E15A9F">
              <w:rPr>
                <w:rFonts w:cs="Times New Roman"/>
                <w:sz w:val="21"/>
                <w:szCs w:val="21"/>
              </w:rPr>
              <w:t>9</w:t>
            </w:r>
            <w:r>
              <w:rPr>
                <w:rFonts w:cs="Times New Roman"/>
                <w:sz w:val="21"/>
                <w:szCs w:val="21"/>
              </w:rPr>
              <w:t>,</w:t>
            </w:r>
            <w:r w:rsidRPr="00E15A9F">
              <w:rPr>
                <w:rFonts w:cs="Times New Roman"/>
                <w:sz w:val="21"/>
                <w:szCs w:val="21"/>
              </w:rPr>
              <w:t>880</w:t>
            </w:r>
            <w:r w:rsidRPr="00E15A9F">
              <w:rPr>
                <w:rFonts w:cs="Times New Roman"/>
                <w:sz w:val="21"/>
                <w:szCs w:val="21"/>
              </w:rPr>
              <w:t>万元银行贷款</w:t>
            </w:r>
          </w:p>
        </w:tc>
        <w:tc>
          <w:tcPr>
            <w:tcW w:w="1134" w:type="dxa"/>
            <w:tcBorders>
              <w:top w:val="nil"/>
              <w:left w:val="nil"/>
              <w:bottom w:val="single" w:sz="4" w:space="0" w:color="auto"/>
              <w:right w:val="single" w:sz="4" w:space="0" w:color="auto"/>
            </w:tcBorders>
            <w:vAlign w:val="center"/>
          </w:tcPr>
          <w:p w:rsidR="00FF358C" w:rsidRPr="00E15A9F" w:rsidRDefault="00FF358C" w:rsidP="00FF358C">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无</w:t>
            </w:r>
          </w:p>
        </w:tc>
        <w:tc>
          <w:tcPr>
            <w:tcW w:w="1276" w:type="dxa"/>
            <w:gridSpan w:val="2"/>
            <w:tcBorders>
              <w:top w:val="nil"/>
              <w:left w:val="nil"/>
              <w:bottom w:val="single" w:sz="4" w:space="0" w:color="auto"/>
              <w:right w:val="single" w:sz="4" w:space="0" w:color="auto"/>
            </w:tcBorders>
            <w:vAlign w:val="center"/>
          </w:tcPr>
          <w:p w:rsidR="00FF358C" w:rsidRPr="00E15A9F" w:rsidRDefault="00FF358C" w:rsidP="00FF358C">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9,880.00</w:t>
            </w:r>
          </w:p>
        </w:tc>
        <w:tc>
          <w:tcPr>
            <w:tcW w:w="1134" w:type="dxa"/>
            <w:tcBorders>
              <w:top w:val="nil"/>
              <w:left w:val="nil"/>
              <w:bottom w:val="single" w:sz="4" w:space="0" w:color="auto"/>
              <w:right w:val="single" w:sz="4" w:space="0" w:color="auto"/>
            </w:tcBorders>
            <w:vAlign w:val="center"/>
          </w:tcPr>
          <w:p w:rsidR="00FF358C" w:rsidRPr="00FF358C" w:rsidRDefault="007F58A6" w:rsidP="00FF358C">
            <w:pPr>
              <w:spacing w:beforeLines="0" w:before="0" w:afterLines="0" w:after="0" w:line="240" w:lineRule="auto"/>
              <w:ind w:firstLineChars="0" w:firstLine="0"/>
              <w:jc w:val="center"/>
              <w:rPr>
                <w:rFonts w:cs="Times New Roman"/>
                <w:sz w:val="21"/>
                <w:szCs w:val="21"/>
              </w:rPr>
            </w:pPr>
            <w:r w:rsidRPr="007F58A6">
              <w:rPr>
                <w:rFonts w:cs="Times New Roman"/>
                <w:sz w:val="21"/>
                <w:szCs w:val="21"/>
              </w:rPr>
              <w:t>9,880.00</w:t>
            </w:r>
          </w:p>
        </w:tc>
        <w:tc>
          <w:tcPr>
            <w:tcW w:w="1276" w:type="dxa"/>
            <w:tcBorders>
              <w:top w:val="nil"/>
              <w:left w:val="nil"/>
              <w:bottom w:val="single" w:sz="4" w:space="0" w:color="auto"/>
              <w:right w:val="single" w:sz="4" w:space="0" w:color="auto"/>
            </w:tcBorders>
            <w:vAlign w:val="center"/>
          </w:tcPr>
          <w:p w:rsidR="00FF358C" w:rsidRPr="00FF358C" w:rsidRDefault="00FF358C" w:rsidP="00FF358C">
            <w:pPr>
              <w:spacing w:beforeLines="0" w:before="0" w:afterLines="0" w:after="0" w:line="240" w:lineRule="auto"/>
              <w:ind w:firstLineChars="0" w:firstLine="0"/>
              <w:jc w:val="center"/>
              <w:rPr>
                <w:rFonts w:cs="Times New Roman"/>
                <w:sz w:val="21"/>
                <w:szCs w:val="21"/>
              </w:rPr>
            </w:pPr>
            <w:r w:rsidRPr="00FF358C">
              <w:rPr>
                <w:rFonts w:cs="Times New Roman"/>
                <w:sz w:val="21"/>
                <w:szCs w:val="21"/>
              </w:rPr>
              <w:t>8,108.14</w:t>
            </w:r>
          </w:p>
        </w:tc>
        <w:tc>
          <w:tcPr>
            <w:tcW w:w="992" w:type="dxa"/>
            <w:tcBorders>
              <w:top w:val="nil"/>
              <w:left w:val="nil"/>
              <w:bottom w:val="single" w:sz="4" w:space="0" w:color="auto"/>
              <w:right w:val="single" w:sz="4" w:space="0" w:color="auto"/>
            </w:tcBorders>
            <w:vAlign w:val="center"/>
          </w:tcPr>
          <w:p w:rsidR="00FF358C" w:rsidRPr="00E15A9F" w:rsidRDefault="00FF358C" w:rsidP="00FF358C">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0</w:t>
            </w:r>
            <w:r>
              <w:rPr>
                <w:rFonts w:cs="Times New Roman"/>
                <w:sz w:val="21"/>
                <w:szCs w:val="21"/>
              </w:rPr>
              <w:t>.00</w:t>
            </w:r>
          </w:p>
        </w:tc>
        <w:tc>
          <w:tcPr>
            <w:tcW w:w="1105" w:type="dxa"/>
            <w:tcBorders>
              <w:top w:val="nil"/>
              <w:left w:val="nil"/>
              <w:bottom w:val="single" w:sz="4" w:space="0" w:color="auto"/>
              <w:right w:val="single" w:sz="4" w:space="0" w:color="auto"/>
            </w:tcBorders>
            <w:vAlign w:val="center"/>
          </w:tcPr>
          <w:p w:rsidR="00FF358C" w:rsidRPr="00E15A9F" w:rsidRDefault="00FF358C" w:rsidP="00FF358C">
            <w:pPr>
              <w:widowControl/>
              <w:spacing w:beforeLines="0" w:before="0" w:afterLines="0" w:after="0" w:line="240" w:lineRule="auto"/>
              <w:ind w:firstLineChars="0" w:firstLine="0"/>
              <w:jc w:val="center"/>
              <w:rPr>
                <w:rFonts w:cs="Times New Roman"/>
                <w:sz w:val="21"/>
                <w:szCs w:val="21"/>
              </w:rPr>
            </w:pPr>
            <w:r w:rsidRPr="00E15A9F">
              <w:rPr>
                <w:rFonts w:cs="Times New Roman"/>
                <w:sz w:val="21"/>
                <w:szCs w:val="21"/>
              </w:rPr>
              <w:t>8,108.14</w:t>
            </w:r>
          </w:p>
        </w:tc>
        <w:tc>
          <w:tcPr>
            <w:tcW w:w="1276" w:type="dxa"/>
            <w:tcBorders>
              <w:top w:val="nil"/>
              <w:left w:val="nil"/>
              <w:bottom w:val="single" w:sz="4" w:space="0" w:color="auto"/>
              <w:right w:val="single" w:sz="4" w:space="0" w:color="auto"/>
            </w:tcBorders>
            <w:vAlign w:val="center"/>
          </w:tcPr>
          <w:p w:rsidR="00FF358C" w:rsidRPr="00E15A9F" w:rsidRDefault="00FF358C" w:rsidP="00FF358C">
            <w:pPr>
              <w:widowControl/>
              <w:spacing w:beforeLines="0" w:before="0" w:afterLines="0" w:after="0" w:line="240" w:lineRule="auto"/>
              <w:ind w:firstLineChars="0" w:firstLine="0"/>
              <w:jc w:val="center"/>
              <w:rPr>
                <w:rFonts w:cs="Times New Roman"/>
                <w:sz w:val="21"/>
                <w:szCs w:val="21"/>
              </w:rPr>
            </w:pPr>
            <w:r w:rsidRPr="00E15A9F">
              <w:rPr>
                <w:rFonts w:cs="Times New Roman"/>
                <w:sz w:val="21"/>
                <w:szCs w:val="21"/>
              </w:rPr>
              <w:t>0</w:t>
            </w:r>
            <w:r>
              <w:rPr>
                <w:rFonts w:cs="Times New Roman"/>
                <w:sz w:val="21"/>
                <w:szCs w:val="21"/>
              </w:rPr>
              <w:t>.00</w:t>
            </w:r>
          </w:p>
        </w:tc>
        <w:tc>
          <w:tcPr>
            <w:tcW w:w="992" w:type="dxa"/>
            <w:tcBorders>
              <w:top w:val="nil"/>
              <w:left w:val="nil"/>
              <w:bottom w:val="single" w:sz="4" w:space="0" w:color="auto"/>
              <w:right w:val="single" w:sz="4" w:space="0" w:color="auto"/>
            </w:tcBorders>
            <w:vAlign w:val="center"/>
          </w:tcPr>
          <w:p w:rsidR="00FF358C" w:rsidRPr="00E15A9F" w:rsidRDefault="00FF358C" w:rsidP="00FF358C">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100%</w:t>
            </w:r>
          </w:p>
        </w:tc>
        <w:tc>
          <w:tcPr>
            <w:tcW w:w="851" w:type="dxa"/>
            <w:tcBorders>
              <w:top w:val="nil"/>
              <w:left w:val="nil"/>
              <w:bottom w:val="single" w:sz="4" w:space="0" w:color="auto"/>
              <w:right w:val="single" w:sz="4" w:space="0" w:color="auto"/>
            </w:tcBorders>
            <w:vAlign w:val="center"/>
          </w:tcPr>
          <w:p w:rsidR="00FF358C" w:rsidRPr="00E15A9F" w:rsidRDefault="00FF358C" w:rsidP="00FF358C">
            <w:pPr>
              <w:spacing w:beforeLines="0" w:before="0" w:afterLines="0" w:after="0" w:line="240" w:lineRule="auto"/>
              <w:ind w:firstLineChars="0" w:firstLine="0"/>
              <w:jc w:val="left"/>
              <w:rPr>
                <w:rFonts w:cs="Times New Roman"/>
                <w:sz w:val="21"/>
                <w:szCs w:val="21"/>
              </w:rPr>
            </w:pPr>
            <w:r w:rsidRPr="00E15A9F">
              <w:rPr>
                <w:rFonts w:cs="Times New Roman"/>
                <w:sz w:val="21"/>
                <w:szCs w:val="21"/>
              </w:rPr>
              <w:t>不适用</w:t>
            </w:r>
          </w:p>
        </w:tc>
        <w:tc>
          <w:tcPr>
            <w:tcW w:w="850" w:type="dxa"/>
            <w:tcBorders>
              <w:top w:val="nil"/>
              <w:left w:val="nil"/>
              <w:bottom w:val="single" w:sz="4" w:space="0" w:color="auto"/>
              <w:right w:val="single" w:sz="4" w:space="0" w:color="auto"/>
            </w:tcBorders>
            <w:vAlign w:val="center"/>
          </w:tcPr>
          <w:p w:rsidR="00FF358C" w:rsidRPr="00E15A9F" w:rsidRDefault="00FF358C" w:rsidP="00FF358C">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不适用</w:t>
            </w:r>
          </w:p>
        </w:tc>
        <w:tc>
          <w:tcPr>
            <w:tcW w:w="851" w:type="dxa"/>
            <w:tcBorders>
              <w:top w:val="nil"/>
              <w:left w:val="nil"/>
              <w:bottom w:val="single" w:sz="4" w:space="0" w:color="auto"/>
              <w:right w:val="single" w:sz="4" w:space="0" w:color="auto"/>
            </w:tcBorders>
            <w:vAlign w:val="center"/>
          </w:tcPr>
          <w:p w:rsidR="00FF358C" w:rsidRPr="00E15A9F" w:rsidRDefault="00FF358C" w:rsidP="00FF358C">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不适用</w:t>
            </w:r>
          </w:p>
        </w:tc>
        <w:tc>
          <w:tcPr>
            <w:tcW w:w="850" w:type="dxa"/>
            <w:tcBorders>
              <w:top w:val="nil"/>
              <w:left w:val="nil"/>
              <w:bottom w:val="single" w:sz="4" w:space="0" w:color="auto"/>
              <w:right w:val="single" w:sz="4" w:space="0" w:color="auto"/>
            </w:tcBorders>
            <w:vAlign w:val="center"/>
          </w:tcPr>
          <w:p w:rsidR="00FF358C" w:rsidRPr="00E15A9F" w:rsidRDefault="00FF358C" w:rsidP="00FF358C">
            <w:pPr>
              <w:spacing w:beforeLines="0" w:before="0" w:afterLines="0" w:after="0" w:line="240" w:lineRule="auto"/>
              <w:ind w:firstLineChars="0" w:firstLine="0"/>
              <w:jc w:val="center"/>
              <w:rPr>
                <w:rFonts w:cs="Times New Roman"/>
                <w:sz w:val="21"/>
                <w:szCs w:val="21"/>
              </w:rPr>
            </w:pPr>
            <w:r w:rsidRPr="00E15A9F">
              <w:rPr>
                <w:rFonts w:cs="Times New Roman"/>
                <w:sz w:val="21"/>
                <w:szCs w:val="21"/>
              </w:rPr>
              <w:t>否</w:t>
            </w:r>
          </w:p>
        </w:tc>
      </w:tr>
      <w:tr w:rsidR="00E15A9F" w:rsidRPr="00E15A9F" w:rsidTr="00BE3F1A">
        <w:trPr>
          <w:trHeight w:val="290"/>
        </w:trPr>
        <w:tc>
          <w:tcPr>
            <w:tcW w:w="2263" w:type="dxa"/>
            <w:tcBorders>
              <w:top w:val="nil"/>
              <w:left w:val="single" w:sz="4" w:space="0" w:color="auto"/>
              <w:bottom w:val="single" w:sz="4" w:space="0" w:color="auto"/>
              <w:right w:val="single" w:sz="4" w:space="0" w:color="auto"/>
            </w:tcBorders>
            <w:vAlign w:val="center"/>
          </w:tcPr>
          <w:p w:rsidR="00E15A9F" w:rsidRPr="00CA3560" w:rsidRDefault="00E15A9F" w:rsidP="00CA3560">
            <w:pPr>
              <w:spacing w:beforeLines="0" w:before="0" w:afterLines="0" w:after="0" w:line="240" w:lineRule="auto"/>
              <w:ind w:firstLineChars="0" w:firstLine="0"/>
              <w:jc w:val="center"/>
              <w:rPr>
                <w:rFonts w:cs="Times New Roman"/>
                <w:b/>
                <w:sz w:val="21"/>
                <w:szCs w:val="21"/>
              </w:rPr>
            </w:pPr>
            <w:r w:rsidRPr="00CA3560">
              <w:rPr>
                <w:rFonts w:cs="Times New Roman"/>
                <w:b/>
                <w:sz w:val="21"/>
                <w:szCs w:val="21"/>
              </w:rPr>
              <w:t>合计</w:t>
            </w:r>
          </w:p>
        </w:tc>
        <w:tc>
          <w:tcPr>
            <w:tcW w:w="1134" w:type="dxa"/>
            <w:tcBorders>
              <w:top w:val="nil"/>
              <w:left w:val="nil"/>
              <w:bottom w:val="single" w:sz="4" w:space="0" w:color="auto"/>
              <w:right w:val="single" w:sz="4" w:space="0" w:color="auto"/>
            </w:tcBorders>
            <w:vAlign w:val="center"/>
          </w:tcPr>
          <w:p w:rsidR="00E15A9F" w:rsidRPr="00CA3560" w:rsidRDefault="00CA3560" w:rsidP="00CA3560">
            <w:pPr>
              <w:spacing w:beforeLines="0" w:before="0" w:afterLines="0" w:after="0" w:line="240" w:lineRule="auto"/>
              <w:ind w:firstLineChars="0" w:firstLine="0"/>
              <w:jc w:val="center"/>
              <w:rPr>
                <w:rFonts w:cs="Times New Roman"/>
                <w:b/>
                <w:sz w:val="21"/>
                <w:szCs w:val="21"/>
              </w:rPr>
            </w:pPr>
            <w:r w:rsidRPr="00CA3560">
              <w:rPr>
                <w:rFonts w:cs="Times New Roman"/>
                <w:b/>
                <w:sz w:val="21"/>
                <w:szCs w:val="21"/>
              </w:rPr>
              <w:t>-</w:t>
            </w:r>
          </w:p>
        </w:tc>
        <w:tc>
          <w:tcPr>
            <w:tcW w:w="1276" w:type="dxa"/>
            <w:gridSpan w:val="2"/>
            <w:tcBorders>
              <w:top w:val="nil"/>
              <w:left w:val="nil"/>
              <w:bottom w:val="single" w:sz="4" w:space="0" w:color="auto"/>
              <w:right w:val="single" w:sz="4" w:space="0" w:color="auto"/>
            </w:tcBorders>
          </w:tcPr>
          <w:p w:rsidR="00E15A9F" w:rsidRPr="00CA3560" w:rsidRDefault="00E15A9F" w:rsidP="00CA3560">
            <w:pPr>
              <w:spacing w:beforeLines="0" w:before="0" w:afterLines="0" w:after="0" w:line="240" w:lineRule="auto"/>
              <w:ind w:firstLineChars="0" w:firstLine="0"/>
              <w:jc w:val="center"/>
              <w:rPr>
                <w:rFonts w:cs="Times New Roman"/>
                <w:b/>
                <w:sz w:val="21"/>
                <w:szCs w:val="21"/>
              </w:rPr>
            </w:pPr>
            <w:r w:rsidRPr="00CA3560">
              <w:rPr>
                <w:rFonts w:cs="Times New Roman"/>
                <w:b/>
                <w:sz w:val="21"/>
                <w:szCs w:val="21"/>
              </w:rPr>
              <w:t>89,630.00</w:t>
            </w:r>
          </w:p>
        </w:tc>
        <w:tc>
          <w:tcPr>
            <w:tcW w:w="1134" w:type="dxa"/>
            <w:tcBorders>
              <w:top w:val="nil"/>
              <w:left w:val="nil"/>
              <w:bottom w:val="single" w:sz="4" w:space="0" w:color="auto"/>
              <w:right w:val="single" w:sz="4" w:space="0" w:color="auto"/>
            </w:tcBorders>
          </w:tcPr>
          <w:p w:rsidR="00E15A9F" w:rsidRPr="00CA3560" w:rsidRDefault="007F58A6" w:rsidP="00CA3560">
            <w:pPr>
              <w:spacing w:beforeLines="0" w:before="0" w:afterLines="0" w:after="0" w:line="240" w:lineRule="auto"/>
              <w:ind w:firstLineChars="0" w:firstLine="0"/>
              <w:jc w:val="center"/>
              <w:rPr>
                <w:rFonts w:cs="Times New Roman"/>
                <w:b/>
                <w:sz w:val="21"/>
                <w:szCs w:val="21"/>
              </w:rPr>
            </w:pPr>
            <w:r w:rsidRPr="007F58A6">
              <w:rPr>
                <w:rFonts w:cs="Times New Roman"/>
                <w:b/>
                <w:sz w:val="21"/>
                <w:szCs w:val="21"/>
              </w:rPr>
              <w:t>89,630.00</w:t>
            </w:r>
          </w:p>
        </w:tc>
        <w:tc>
          <w:tcPr>
            <w:tcW w:w="1276" w:type="dxa"/>
            <w:tcBorders>
              <w:top w:val="nil"/>
              <w:left w:val="nil"/>
              <w:bottom w:val="single" w:sz="4" w:space="0" w:color="auto"/>
              <w:right w:val="single" w:sz="4" w:space="0" w:color="auto"/>
            </w:tcBorders>
          </w:tcPr>
          <w:p w:rsidR="00E15A9F" w:rsidRPr="00CA3560" w:rsidRDefault="00FF358C" w:rsidP="00CA3560">
            <w:pPr>
              <w:spacing w:beforeLines="0" w:before="0" w:afterLines="0" w:after="0" w:line="240" w:lineRule="auto"/>
              <w:ind w:firstLineChars="0" w:firstLine="0"/>
              <w:jc w:val="center"/>
              <w:rPr>
                <w:rFonts w:cs="Times New Roman"/>
                <w:b/>
                <w:sz w:val="21"/>
                <w:szCs w:val="21"/>
              </w:rPr>
            </w:pPr>
            <w:r w:rsidRPr="00FF358C">
              <w:rPr>
                <w:rFonts w:cs="Times New Roman"/>
                <w:b/>
                <w:sz w:val="21"/>
                <w:szCs w:val="21"/>
              </w:rPr>
              <w:t>87,858.14</w:t>
            </w:r>
          </w:p>
        </w:tc>
        <w:tc>
          <w:tcPr>
            <w:tcW w:w="992" w:type="dxa"/>
            <w:tcBorders>
              <w:top w:val="nil"/>
              <w:left w:val="nil"/>
              <w:bottom w:val="single" w:sz="4" w:space="0" w:color="auto"/>
              <w:right w:val="single" w:sz="4" w:space="0" w:color="auto"/>
            </w:tcBorders>
          </w:tcPr>
          <w:p w:rsidR="00E15A9F" w:rsidRPr="00CA3560" w:rsidRDefault="00E15A9F" w:rsidP="00CA3560">
            <w:pPr>
              <w:spacing w:beforeLines="0" w:before="0" w:afterLines="0" w:after="0" w:line="240" w:lineRule="auto"/>
              <w:ind w:firstLineChars="0" w:firstLine="0"/>
              <w:jc w:val="center"/>
              <w:rPr>
                <w:rFonts w:cs="Times New Roman"/>
                <w:b/>
                <w:sz w:val="21"/>
                <w:szCs w:val="21"/>
              </w:rPr>
            </w:pPr>
            <w:r w:rsidRPr="00CA3560">
              <w:rPr>
                <w:rFonts w:cs="Times New Roman"/>
                <w:b/>
                <w:sz w:val="21"/>
                <w:szCs w:val="21"/>
              </w:rPr>
              <w:t>0.00</w:t>
            </w:r>
          </w:p>
        </w:tc>
        <w:tc>
          <w:tcPr>
            <w:tcW w:w="1105" w:type="dxa"/>
            <w:tcBorders>
              <w:top w:val="nil"/>
              <w:left w:val="nil"/>
              <w:bottom w:val="single" w:sz="4" w:space="0" w:color="auto"/>
              <w:right w:val="single" w:sz="4" w:space="0" w:color="auto"/>
            </w:tcBorders>
          </w:tcPr>
          <w:p w:rsidR="00E15A9F" w:rsidRPr="00CA3560" w:rsidRDefault="00E15A9F" w:rsidP="00CA3560">
            <w:pPr>
              <w:spacing w:beforeLines="0" w:before="0" w:afterLines="0" w:after="0" w:line="240" w:lineRule="auto"/>
              <w:ind w:firstLineChars="0" w:firstLine="0"/>
              <w:jc w:val="center"/>
              <w:rPr>
                <w:rFonts w:cs="Times New Roman"/>
                <w:b/>
                <w:sz w:val="21"/>
                <w:szCs w:val="21"/>
              </w:rPr>
            </w:pPr>
            <w:r w:rsidRPr="00CA3560">
              <w:rPr>
                <w:rFonts w:cs="Times New Roman"/>
                <w:b/>
                <w:sz w:val="21"/>
                <w:szCs w:val="21"/>
              </w:rPr>
              <w:t>87,858.14</w:t>
            </w:r>
          </w:p>
        </w:tc>
        <w:tc>
          <w:tcPr>
            <w:tcW w:w="1276" w:type="dxa"/>
            <w:tcBorders>
              <w:top w:val="nil"/>
              <w:left w:val="nil"/>
              <w:bottom w:val="single" w:sz="4" w:space="0" w:color="auto"/>
              <w:right w:val="single" w:sz="4" w:space="0" w:color="auto"/>
            </w:tcBorders>
            <w:vAlign w:val="center"/>
          </w:tcPr>
          <w:p w:rsidR="00E15A9F" w:rsidRPr="00CA3560" w:rsidRDefault="0065700F" w:rsidP="00CA3560">
            <w:pPr>
              <w:spacing w:beforeLines="0" w:before="0" w:afterLines="0" w:after="0" w:line="240" w:lineRule="auto"/>
              <w:ind w:firstLineChars="0" w:firstLine="0"/>
              <w:jc w:val="center"/>
              <w:rPr>
                <w:rFonts w:cs="Times New Roman"/>
                <w:b/>
                <w:color w:val="000000"/>
                <w:kern w:val="0"/>
                <w:sz w:val="21"/>
                <w:szCs w:val="21"/>
                <w:lang w:bidi="ar"/>
              </w:rPr>
            </w:pPr>
            <w:r w:rsidRPr="0065700F">
              <w:rPr>
                <w:rFonts w:cs="Times New Roman"/>
                <w:b/>
                <w:color w:val="000000"/>
                <w:kern w:val="0"/>
                <w:sz w:val="21"/>
                <w:szCs w:val="21"/>
                <w:lang w:bidi="ar"/>
              </w:rPr>
              <w:t>0.00</w:t>
            </w:r>
          </w:p>
        </w:tc>
        <w:tc>
          <w:tcPr>
            <w:tcW w:w="992" w:type="dxa"/>
            <w:tcBorders>
              <w:top w:val="nil"/>
              <w:left w:val="nil"/>
              <w:bottom w:val="single" w:sz="4" w:space="0" w:color="auto"/>
              <w:right w:val="single" w:sz="4" w:space="0" w:color="auto"/>
            </w:tcBorders>
            <w:vAlign w:val="center"/>
          </w:tcPr>
          <w:p w:rsidR="00E15A9F" w:rsidRPr="00CA3560" w:rsidRDefault="00E15A9F" w:rsidP="00CA3560">
            <w:pPr>
              <w:spacing w:beforeLines="0" w:before="0" w:afterLines="0" w:after="0" w:line="240" w:lineRule="auto"/>
              <w:ind w:firstLineChars="0" w:firstLine="0"/>
              <w:jc w:val="center"/>
              <w:rPr>
                <w:rFonts w:cs="Times New Roman"/>
                <w:b/>
                <w:sz w:val="21"/>
                <w:szCs w:val="21"/>
              </w:rPr>
            </w:pPr>
            <w:r w:rsidRPr="00CA3560">
              <w:rPr>
                <w:rFonts w:cs="Times New Roman"/>
                <w:b/>
                <w:sz w:val="21"/>
                <w:szCs w:val="21"/>
              </w:rPr>
              <w:t>-</w:t>
            </w:r>
          </w:p>
        </w:tc>
        <w:tc>
          <w:tcPr>
            <w:tcW w:w="851" w:type="dxa"/>
            <w:tcBorders>
              <w:top w:val="nil"/>
              <w:left w:val="nil"/>
              <w:bottom w:val="single" w:sz="4" w:space="0" w:color="auto"/>
              <w:right w:val="single" w:sz="4" w:space="0" w:color="auto"/>
            </w:tcBorders>
            <w:vAlign w:val="center"/>
          </w:tcPr>
          <w:p w:rsidR="00E15A9F" w:rsidRPr="00CA3560" w:rsidRDefault="00E15A9F" w:rsidP="00CA3560">
            <w:pPr>
              <w:spacing w:beforeLines="0" w:before="0" w:afterLines="0" w:after="0" w:line="240" w:lineRule="auto"/>
              <w:ind w:firstLineChars="0" w:firstLine="0"/>
              <w:jc w:val="center"/>
              <w:rPr>
                <w:rFonts w:cs="Times New Roman"/>
                <w:b/>
                <w:sz w:val="21"/>
                <w:szCs w:val="21"/>
              </w:rPr>
            </w:pPr>
            <w:r w:rsidRPr="00CA3560">
              <w:rPr>
                <w:rFonts w:cs="Times New Roman"/>
                <w:b/>
                <w:sz w:val="21"/>
                <w:szCs w:val="21"/>
              </w:rPr>
              <w:t>-</w:t>
            </w:r>
          </w:p>
        </w:tc>
        <w:tc>
          <w:tcPr>
            <w:tcW w:w="850" w:type="dxa"/>
            <w:tcBorders>
              <w:top w:val="nil"/>
              <w:left w:val="nil"/>
              <w:bottom w:val="single" w:sz="4" w:space="0" w:color="auto"/>
              <w:right w:val="single" w:sz="4" w:space="0" w:color="auto"/>
            </w:tcBorders>
            <w:vAlign w:val="center"/>
          </w:tcPr>
          <w:p w:rsidR="00E15A9F" w:rsidRPr="00CA3560" w:rsidRDefault="00E15A9F" w:rsidP="00CA3560">
            <w:pPr>
              <w:spacing w:beforeLines="0" w:before="0" w:afterLines="0" w:after="0" w:line="240" w:lineRule="auto"/>
              <w:ind w:firstLineChars="0" w:firstLine="0"/>
              <w:jc w:val="center"/>
              <w:rPr>
                <w:rFonts w:cs="Times New Roman"/>
                <w:b/>
                <w:sz w:val="21"/>
                <w:szCs w:val="21"/>
              </w:rPr>
            </w:pPr>
            <w:r w:rsidRPr="00CA3560">
              <w:rPr>
                <w:rFonts w:cs="Times New Roman"/>
                <w:b/>
                <w:sz w:val="21"/>
                <w:szCs w:val="21"/>
              </w:rPr>
              <w:t>-</w:t>
            </w:r>
          </w:p>
        </w:tc>
        <w:tc>
          <w:tcPr>
            <w:tcW w:w="851" w:type="dxa"/>
            <w:tcBorders>
              <w:top w:val="nil"/>
              <w:left w:val="nil"/>
              <w:bottom w:val="single" w:sz="4" w:space="0" w:color="auto"/>
              <w:right w:val="single" w:sz="4" w:space="0" w:color="auto"/>
            </w:tcBorders>
            <w:vAlign w:val="center"/>
          </w:tcPr>
          <w:p w:rsidR="00E15A9F" w:rsidRPr="00CA3560" w:rsidRDefault="00E15A9F" w:rsidP="00CA3560">
            <w:pPr>
              <w:spacing w:beforeLines="0" w:before="0" w:afterLines="0" w:after="0" w:line="240" w:lineRule="auto"/>
              <w:ind w:firstLineChars="0" w:firstLine="0"/>
              <w:jc w:val="center"/>
              <w:rPr>
                <w:rFonts w:cs="Times New Roman"/>
                <w:b/>
                <w:sz w:val="21"/>
                <w:szCs w:val="21"/>
              </w:rPr>
            </w:pPr>
            <w:r w:rsidRPr="00CA3560">
              <w:rPr>
                <w:rFonts w:cs="Times New Roman"/>
                <w:b/>
                <w:sz w:val="21"/>
                <w:szCs w:val="21"/>
              </w:rPr>
              <w:t>-</w:t>
            </w:r>
          </w:p>
        </w:tc>
        <w:tc>
          <w:tcPr>
            <w:tcW w:w="850" w:type="dxa"/>
            <w:tcBorders>
              <w:top w:val="nil"/>
              <w:left w:val="nil"/>
              <w:bottom w:val="single" w:sz="4" w:space="0" w:color="auto"/>
              <w:right w:val="single" w:sz="4" w:space="0" w:color="auto"/>
            </w:tcBorders>
            <w:vAlign w:val="center"/>
          </w:tcPr>
          <w:p w:rsidR="00E15A9F" w:rsidRPr="00CA3560" w:rsidRDefault="00E15A9F" w:rsidP="00CA3560">
            <w:pPr>
              <w:spacing w:beforeLines="0" w:before="0" w:afterLines="0" w:after="0" w:line="240" w:lineRule="auto"/>
              <w:ind w:firstLineChars="0" w:firstLine="0"/>
              <w:jc w:val="center"/>
              <w:rPr>
                <w:rFonts w:cs="Times New Roman"/>
                <w:b/>
                <w:sz w:val="21"/>
                <w:szCs w:val="21"/>
              </w:rPr>
            </w:pPr>
            <w:r w:rsidRPr="00CA3560">
              <w:rPr>
                <w:rFonts w:cs="Times New Roman"/>
                <w:b/>
                <w:sz w:val="21"/>
                <w:szCs w:val="21"/>
              </w:rPr>
              <w:t>-</w:t>
            </w:r>
          </w:p>
        </w:tc>
      </w:tr>
      <w:tr w:rsidR="00E15A9F" w:rsidRPr="00E15A9F" w:rsidTr="00BE3F1A">
        <w:trPr>
          <w:trHeight w:val="70"/>
        </w:trPr>
        <w:tc>
          <w:tcPr>
            <w:tcW w:w="4644" w:type="dxa"/>
            <w:gridSpan w:val="3"/>
            <w:tcBorders>
              <w:top w:val="single" w:sz="4" w:space="0" w:color="auto"/>
              <w:left w:val="single" w:sz="4" w:space="0" w:color="auto"/>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未达到计划进度原因（</w:t>
            </w:r>
            <w:proofErr w:type="gramStart"/>
            <w:r w:rsidRPr="00E15A9F">
              <w:rPr>
                <w:rFonts w:cs="Times New Roman"/>
                <w:sz w:val="21"/>
                <w:szCs w:val="21"/>
              </w:rPr>
              <w:t>分具体募投</w:t>
            </w:r>
            <w:proofErr w:type="gramEnd"/>
            <w:r w:rsidRPr="00E15A9F">
              <w:rPr>
                <w:rFonts w:cs="Times New Roman"/>
                <w:sz w:val="21"/>
                <w:szCs w:val="21"/>
              </w:rPr>
              <w:t>项目）</w:t>
            </w:r>
          </w:p>
        </w:tc>
        <w:tc>
          <w:tcPr>
            <w:tcW w:w="10206" w:type="dxa"/>
            <w:gridSpan w:val="11"/>
            <w:tcBorders>
              <w:top w:val="single" w:sz="4" w:space="0" w:color="auto"/>
              <w:left w:val="nil"/>
              <w:bottom w:val="single" w:sz="4" w:space="0" w:color="auto"/>
              <w:right w:val="single" w:sz="4" w:space="0" w:color="000000"/>
            </w:tcBorders>
            <w:vAlign w:val="center"/>
          </w:tcPr>
          <w:p w:rsidR="00E15A9F" w:rsidRPr="00E15A9F" w:rsidRDefault="00E15A9F" w:rsidP="00CF4FE3">
            <w:pPr>
              <w:spacing w:beforeLines="0" w:before="0" w:afterLines="0" w:after="0" w:line="240" w:lineRule="auto"/>
              <w:ind w:firstLineChars="0" w:firstLine="0"/>
              <w:jc w:val="left"/>
              <w:rPr>
                <w:rFonts w:cs="Times New Roman"/>
                <w:color w:val="FF0000"/>
                <w:sz w:val="21"/>
                <w:szCs w:val="21"/>
              </w:rPr>
            </w:pPr>
            <w:r w:rsidRPr="00E15A9F">
              <w:rPr>
                <w:rFonts w:cs="Times New Roman"/>
                <w:sz w:val="21"/>
                <w:szCs w:val="21"/>
              </w:rPr>
              <w:t>不适用</w:t>
            </w:r>
          </w:p>
        </w:tc>
      </w:tr>
      <w:tr w:rsidR="00E15A9F" w:rsidRPr="00E15A9F" w:rsidTr="00BE3F1A">
        <w:trPr>
          <w:trHeight w:val="70"/>
        </w:trPr>
        <w:tc>
          <w:tcPr>
            <w:tcW w:w="4644" w:type="dxa"/>
            <w:gridSpan w:val="3"/>
            <w:tcBorders>
              <w:top w:val="single" w:sz="4" w:space="0" w:color="auto"/>
              <w:left w:val="single" w:sz="4" w:space="0" w:color="auto"/>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未达到预计效益的原因</w:t>
            </w:r>
          </w:p>
        </w:tc>
        <w:tc>
          <w:tcPr>
            <w:tcW w:w="10206" w:type="dxa"/>
            <w:gridSpan w:val="11"/>
            <w:tcBorders>
              <w:top w:val="single" w:sz="4" w:space="0" w:color="auto"/>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不适用</w:t>
            </w:r>
          </w:p>
        </w:tc>
      </w:tr>
      <w:tr w:rsidR="00E15A9F" w:rsidRPr="00E15A9F" w:rsidTr="00BE3F1A">
        <w:trPr>
          <w:trHeight w:val="270"/>
        </w:trPr>
        <w:tc>
          <w:tcPr>
            <w:tcW w:w="4644" w:type="dxa"/>
            <w:gridSpan w:val="3"/>
            <w:tcBorders>
              <w:top w:val="single" w:sz="4" w:space="0" w:color="auto"/>
              <w:left w:val="single" w:sz="4" w:space="0" w:color="auto"/>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项目可行性发生重大变化的情况说明</w:t>
            </w:r>
          </w:p>
        </w:tc>
        <w:tc>
          <w:tcPr>
            <w:tcW w:w="10206" w:type="dxa"/>
            <w:gridSpan w:val="11"/>
            <w:tcBorders>
              <w:top w:val="single" w:sz="4" w:space="0" w:color="auto"/>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color w:val="FF0000"/>
                <w:sz w:val="21"/>
                <w:szCs w:val="21"/>
              </w:rPr>
            </w:pPr>
            <w:r w:rsidRPr="00E15A9F">
              <w:rPr>
                <w:rFonts w:cs="Times New Roman"/>
                <w:sz w:val="21"/>
                <w:szCs w:val="21"/>
              </w:rPr>
              <w:t>不适用</w:t>
            </w:r>
          </w:p>
        </w:tc>
      </w:tr>
      <w:tr w:rsidR="00E15A9F" w:rsidRPr="00E15A9F" w:rsidTr="00BE3F1A">
        <w:trPr>
          <w:trHeight w:val="70"/>
        </w:trPr>
        <w:tc>
          <w:tcPr>
            <w:tcW w:w="4644" w:type="dxa"/>
            <w:gridSpan w:val="3"/>
            <w:tcBorders>
              <w:top w:val="single" w:sz="4" w:space="0" w:color="auto"/>
              <w:left w:val="single" w:sz="4" w:space="0" w:color="auto"/>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募集资金投资项目先期投入及置换情况</w:t>
            </w:r>
          </w:p>
        </w:tc>
        <w:tc>
          <w:tcPr>
            <w:tcW w:w="10206" w:type="dxa"/>
            <w:gridSpan w:val="11"/>
            <w:tcBorders>
              <w:top w:val="single" w:sz="4" w:space="0" w:color="auto"/>
              <w:left w:val="nil"/>
              <w:bottom w:val="single" w:sz="4" w:space="0" w:color="auto"/>
              <w:right w:val="single" w:sz="4" w:space="0" w:color="000000"/>
            </w:tcBorders>
            <w:vAlign w:val="center"/>
          </w:tcPr>
          <w:p w:rsidR="00E15A9F" w:rsidRPr="00E15A9F" w:rsidRDefault="00E15A9F" w:rsidP="00CF4FE3">
            <w:pPr>
              <w:spacing w:beforeLines="0" w:before="0" w:afterLines="0" w:after="0" w:line="240" w:lineRule="auto"/>
              <w:ind w:firstLineChars="0" w:firstLine="0"/>
              <w:jc w:val="left"/>
              <w:rPr>
                <w:rFonts w:cs="Times New Roman"/>
                <w:color w:val="FF0000"/>
                <w:sz w:val="21"/>
                <w:szCs w:val="21"/>
              </w:rPr>
            </w:pPr>
            <w:r w:rsidRPr="00E15A9F">
              <w:rPr>
                <w:rFonts w:cs="Times New Roman"/>
                <w:sz w:val="21"/>
                <w:szCs w:val="21"/>
              </w:rPr>
              <w:t>2016</w:t>
            </w:r>
            <w:r w:rsidRPr="00E15A9F">
              <w:rPr>
                <w:rFonts w:cs="Times New Roman"/>
                <w:sz w:val="21"/>
                <w:szCs w:val="21"/>
              </w:rPr>
              <w:t>募集资金先期投入</w:t>
            </w:r>
            <w:r w:rsidRPr="00E15A9F">
              <w:rPr>
                <w:rFonts w:cs="Times New Roman"/>
                <w:sz w:val="21"/>
                <w:szCs w:val="21"/>
              </w:rPr>
              <w:t>9</w:t>
            </w:r>
            <w:r w:rsidR="0065700F">
              <w:rPr>
                <w:rFonts w:cs="Times New Roman"/>
                <w:sz w:val="21"/>
                <w:szCs w:val="21"/>
              </w:rPr>
              <w:t>,</w:t>
            </w:r>
            <w:r w:rsidRPr="00E15A9F">
              <w:rPr>
                <w:rFonts w:cs="Times New Roman"/>
                <w:sz w:val="21"/>
                <w:szCs w:val="21"/>
              </w:rPr>
              <w:t>880</w:t>
            </w:r>
            <w:r w:rsidRPr="00E15A9F">
              <w:rPr>
                <w:rFonts w:cs="Times New Roman"/>
                <w:sz w:val="21"/>
                <w:szCs w:val="21"/>
              </w:rPr>
              <w:t>万元，</w:t>
            </w:r>
            <w:r w:rsidRPr="00E15A9F">
              <w:rPr>
                <w:rFonts w:cs="Times New Roman"/>
                <w:sz w:val="21"/>
                <w:szCs w:val="21"/>
              </w:rPr>
              <w:t>2017</w:t>
            </w:r>
            <w:r w:rsidRPr="00E15A9F">
              <w:rPr>
                <w:rFonts w:cs="Times New Roman"/>
                <w:sz w:val="21"/>
                <w:szCs w:val="21"/>
              </w:rPr>
              <w:t>年已使用募集资金</w:t>
            </w:r>
            <w:r w:rsidRPr="00E15A9F">
              <w:rPr>
                <w:rFonts w:cs="Times New Roman"/>
                <w:sz w:val="21"/>
                <w:szCs w:val="21"/>
              </w:rPr>
              <w:t>81,081,410.47</w:t>
            </w:r>
            <w:r w:rsidRPr="00E15A9F">
              <w:rPr>
                <w:rFonts w:cs="Times New Roman"/>
                <w:sz w:val="21"/>
                <w:szCs w:val="21"/>
              </w:rPr>
              <w:t>元对先前投入进行置换。</w:t>
            </w:r>
          </w:p>
        </w:tc>
      </w:tr>
      <w:tr w:rsidR="00E15A9F" w:rsidRPr="00E15A9F" w:rsidTr="00BE3F1A">
        <w:trPr>
          <w:trHeight w:val="285"/>
        </w:trPr>
        <w:tc>
          <w:tcPr>
            <w:tcW w:w="4644" w:type="dxa"/>
            <w:gridSpan w:val="3"/>
            <w:tcBorders>
              <w:top w:val="single" w:sz="4" w:space="0" w:color="auto"/>
              <w:left w:val="single" w:sz="4" w:space="0" w:color="auto"/>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用闲置募集资金暂时补充流动资金情况</w:t>
            </w:r>
          </w:p>
        </w:tc>
        <w:tc>
          <w:tcPr>
            <w:tcW w:w="10206" w:type="dxa"/>
            <w:gridSpan w:val="11"/>
            <w:tcBorders>
              <w:top w:val="single" w:sz="4" w:space="0" w:color="auto"/>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color w:val="FF0000"/>
                <w:sz w:val="21"/>
                <w:szCs w:val="21"/>
              </w:rPr>
            </w:pPr>
            <w:r w:rsidRPr="00E15A9F">
              <w:rPr>
                <w:rFonts w:cs="Times New Roman"/>
                <w:sz w:val="21"/>
                <w:szCs w:val="21"/>
              </w:rPr>
              <w:t>不适用</w:t>
            </w:r>
          </w:p>
        </w:tc>
      </w:tr>
      <w:tr w:rsidR="00E15A9F" w:rsidRPr="00E15A9F" w:rsidTr="00BE3F1A">
        <w:trPr>
          <w:trHeight w:val="70"/>
        </w:trPr>
        <w:tc>
          <w:tcPr>
            <w:tcW w:w="4644" w:type="dxa"/>
            <w:gridSpan w:val="3"/>
            <w:tcBorders>
              <w:top w:val="single" w:sz="4" w:space="0" w:color="auto"/>
              <w:left w:val="single" w:sz="4" w:space="0" w:color="auto"/>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募集资金结余的金额及形成原因</w:t>
            </w:r>
          </w:p>
        </w:tc>
        <w:tc>
          <w:tcPr>
            <w:tcW w:w="10206" w:type="dxa"/>
            <w:gridSpan w:val="11"/>
            <w:tcBorders>
              <w:top w:val="single" w:sz="4" w:space="0" w:color="auto"/>
              <w:left w:val="nil"/>
              <w:bottom w:val="single" w:sz="4" w:space="0" w:color="auto"/>
              <w:right w:val="single" w:sz="4" w:space="0" w:color="auto"/>
            </w:tcBorders>
          </w:tcPr>
          <w:p w:rsidR="00E15A9F" w:rsidRPr="00E15A9F" w:rsidRDefault="007F58A6" w:rsidP="00CF4FE3">
            <w:pPr>
              <w:spacing w:beforeLines="0" w:before="0" w:afterLines="0" w:after="0" w:line="240" w:lineRule="auto"/>
              <w:ind w:firstLineChars="0" w:firstLine="0"/>
              <w:jc w:val="left"/>
              <w:rPr>
                <w:rFonts w:cs="Times New Roman"/>
                <w:sz w:val="21"/>
                <w:szCs w:val="21"/>
              </w:rPr>
            </w:pPr>
            <w:r w:rsidRPr="007F58A6">
              <w:rPr>
                <w:rFonts w:cs="Times New Roman" w:hint="eastAsia"/>
                <w:sz w:val="21"/>
                <w:szCs w:val="21"/>
              </w:rPr>
              <w:t>2016</w:t>
            </w:r>
            <w:r w:rsidRPr="007F58A6">
              <w:rPr>
                <w:rFonts w:cs="Times New Roman" w:hint="eastAsia"/>
                <w:sz w:val="21"/>
                <w:szCs w:val="21"/>
              </w:rPr>
              <w:t>年公司第二次非公开发行股票募集资金承诺投资项目款项已全部支付完毕，公司于</w:t>
            </w:r>
            <w:r w:rsidRPr="007F58A6">
              <w:rPr>
                <w:rFonts w:cs="Times New Roman" w:hint="eastAsia"/>
                <w:sz w:val="21"/>
                <w:szCs w:val="21"/>
              </w:rPr>
              <w:t>2017</w:t>
            </w:r>
            <w:r w:rsidRPr="007F58A6">
              <w:rPr>
                <w:rFonts w:cs="Times New Roman" w:hint="eastAsia"/>
                <w:sz w:val="21"/>
                <w:szCs w:val="21"/>
              </w:rPr>
              <w:t>年</w:t>
            </w:r>
            <w:r w:rsidRPr="007F58A6">
              <w:rPr>
                <w:rFonts w:cs="Times New Roman" w:hint="eastAsia"/>
                <w:sz w:val="21"/>
                <w:szCs w:val="21"/>
              </w:rPr>
              <w:t>6</w:t>
            </w:r>
            <w:r w:rsidRPr="007F58A6">
              <w:rPr>
                <w:rFonts w:cs="Times New Roman" w:hint="eastAsia"/>
                <w:sz w:val="21"/>
                <w:szCs w:val="21"/>
              </w:rPr>
              <w:t>月，已完成该募集资金专用账户注销手续，该募集资金专户合计节余利息收入</w:t>
            </w:r>
            <w:r w:rsidRPr="007F58A6">
              <w:rPr>
                <w:rFonts w:cs="Times New Roman" w:hint="eastAsia"/>
                <w:sz w:val="21"/>
                <w:szCs w:val="21"/>
              </w:rPr>
              <w:t>97,333.12</w:t>
            </w:r>
            <w:r w:rsidRPr="007F58A6">
              <w:rPr>
                <w:rFonts w:cs="Times New Roman" w:hint="eastAsia"/>
                <w:sz w:val="21"/>
                <w:szCs w:val="21"/>
              </w:rPr>
              <w:t>元；按照《募集资金管理办法》公司已将募集资金账户产生的利息收入</w:t>
            </w:r>
            <w:r w:rsidRPr="007F58A6">
              <w:rPr>
                <w:rFonts w:cs="Times New Roman" w:hint="eastAsia"/>
                <w:sz w:val="21"/>
                <w:szCs w:val="21"/>
              </w:rPr>
              <w:t>97,333.12</w:t>
            </w:r>
            <w:r w:rsidRPr="007F58A6">
              <w:rPr>
                <w:rFonts w:cs="Times New Roman" w:hint="eastAsia"/>
                <w:sz w:val="21"/>
                <w:szCs w:val="21"/>
              </w:rPr>
              <w:t>元全部划入公司一般账户使用。</w:t>
            </w:r>
          </w:p>
        </w:tc>
      </w:tr>
      <w:tr w:rsidR="00E15A9F" w:rsidRPr="00E15A9F" w:rsidTr="00BE3F1A">
        <w:trPr>
          <w:trHeight w:val="330"/>
        </w:trPr>
        <w:tc>
          <w:tcPr>
            <w:tcW w:w="4644" w:type="dxa"/>
            <w:gridSpan w:val="3"/>
            <w:tcBorders>
              <w:top w:val="single" w:sz="4" w:space="0" w:color="auto"/>
              <w:left w:val="single" w:sz="4" w:space="0" w:color="auto"/>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募集资金其他使用情况</w:t>
            </w:r>
          </w:p>
        </w:tc>
        <w:tc>
          <w:tcPr>
            <w:tcW w:w="10206" w:type="dxa"/>
            <w:gridSpan w:val="11"/>
            <w:tcBorders>
              <w:top w:val="single" w:sz="4" w:space="0" w:color="auto"/>
              <w:left w:val="nil"/>
              <w:bottom w:val="single" w:sz="4" w:space="0" w:color="auto"/>
              <w:right w:val="single" w:sz="4" w:space="0" w:color="auto"/>
            </w:tcBorders>
            <w:vAlign w:val="center"/>
          </w:tcPr>
          <w:p w:rsidR="00E15A9F" w:rsidRPr="00E15A9F" w:rsidRDefault="00E15A9F" w:rsidP="00CF4FE3">
            <w:pPr>
              <w:spacing w:beforeLines="0" w:before="0" w:afterLines="0" w:after="0" w:line="240" w:lineRule="auto"/>
              <w:ind w:firstLineChars="0" w:firstLine="0"/>
              <w:jc w:val="left"/>
              <w:rPr>
                <w:rFonts w:cs="Times New Roman"/>
                <w:sz w:val="21"/>
                <w:szCs w:val="21"/>
              </w:rPr>
            </w:pPr>
            <w:r w:rsidRPr="00E15A9F">
              <w:rPr>
                <w:rFonts w:cs="Times New Roman"/>
                <w:sz w:val="21"/>
                <w:szCs w:val="21"/>
              </w:rPr>
              <w:t xml:space="preserve">　无</w:t>
            </w:r>
          </w:p>
        </w:tc>
      </w:tr>
    </w:tbl>
    <w:p w:rsidR="00E15A9F" w:rsidRPr="00E91716" w:rsidRDefault="00E15A9F" w:rsidP="00CF4FE3">
      <w:pPr>
        <w:spacing w:beforeLines="0" w:before="0" w:afterLines="0" w:after="0" w:line="0" w:lineRule="atLeast"/>
        <w:ind w:firstLine="360"/>
        <w:jc w:val="left"/>
        <w:rPr>
          <w:sz w:val="18"/>
          <w:szCs w:val="18"/>
        </w:rPr>
      </w:pPr>
    </w:p>
    <w:p w:rsidR="00E15A9F" w:rsidRPr="00E15A9F" w:rsidRDefault="00E15A9F" w:rsidP="00CF4FE3">
      <w:pPr>
        <w:spacing w:beforeLines="0" w:before="0" w:afterLines="0" w:after="0"/>
        <w:ind w:firstLine="480"/>
      </w:pPr>
    </w:p>
    <w:p w:rsidR="00E15A9F" w:rsidRDefault="00E15A9F" w:rsidP="00CF4FE3">
      <w:pPr>
        <w:widowControl/>
        <w:spacing w:beforeLines="0" w:before="0" w:afterLines="0" w:after="0" w:line="240" w:lineRule="auto"/>
        <w:ind w:firstLineChars="0" w:firstLine="0"/>
        <w:jc w:val="left"/>
      </w:pPr>
      <w:r>
        <w:br w:type="page"/>
      </w:r>
    </w:p>
    <w:p w:rsidR="004E7268" w:rsidRDefault="004E7268" w:rsidP="00CF4FE3">
      <w:pPr>
        <w:spacing w:beforeLines="0" w:before="0" w:afterLines="0" w:after="0"/>
        <w:ind w:firstLine="480"/>
        <w:sectPr w:rsidR="004E7268" w:rsidSect="00E15A9F">
          <w:pgSz w:w="16838" w:h="11906" w:orient="landscape"/>
          <w:pgMar w:top="1797" w:right="1440" w:bottom="1797" w:left="1440" w:header="851" w:footer="992" w:gutter="0"/>
          <w:cols w:space="425"/>
          <w:docGrid w:type="linesAndChars" w:linePitch="312"/>
        </w:sectPr>
      </w:pPr>
    </w:p>
    <w:p w:rsidR="0042658C" w:rsidRDefault="0042658C" w:rsidP="00CF4FE3">
      <w:pPr>
        <w:spacing w:beforeLines="0" w:before="0" w:afterLines="0" w:after="0"/>
        <w:ind w:firstLine="480"/>
      </w:pPr>
      <w:r>
        <w:rPr>
          <w:rFonts w:hint="eastAsia"/>
        </w:rPr>
        <w:lastRenderedPageBreak/>
        <w:t>（此页无正文，为《天风证券股份有限公司关于渤海水业股份有限公司</w:t>
      </w:r>
      <w:r w:rsidR="00964526" w:rsidRPr="00964526">
        <w:rPr>
          <w:rFonts w:hint="eastAsia"/>
        </w:rPr>
        <w:t>2018</w:t>
      </w:r>
      <w:r w:rsidR="00964526" w:rsidRPr="00964526">
        <w:rPr>
          <w:rFonts w:hint="eastAsia"/>
        </w:rPr>
        <w:t>年度募集资金存放与使用情况</w:t>
      </w:r>
      <w:r w:rsidR="00C720DF" w:rsidRPr="00C720DF">
        <w:rPr>
          <w:rFonts w:hint="eastAsia"/>
        </w:rPr>
        <w:t>的专项核查意见</w:t>
      </w:r>
      <w:r>
        <w:rPr>
          <w:rFonts w:hint="eastAsia"/>
        </w:rPr>
        <w:t>》之签字盖章页）</w:t>
      </w:r>
    </w:p>
    <w:p w:rsidR="0042658C" w:rsidRPr="00964526" w:rsidRDefault="0042658C" w:rsidP="00CF4FE3">
      <w:pPr>
        <w:spacing w:beforeLines="0" w:before="0" w:afterLines="0" w:after="0"/>
        <w:ind w:firstLine="480"/>
      </w:pPr>
    </w:p>
    <w:p w:rsidR="0042658C" w:rsidRDefault="0042658C" w:rsidP="00CF4FE3">
      <w:pPr>
        <w:spacing w:beforeLines="0" w:before="0" w:afterLines="0" w:after="0"/>
        <w:ind w:firstLine="480"/>
      </w:pPr>
    </w:p>
    <w:p w:rsidR="0042658C" w:rsidRDefault="0042658C" w:rsidP="00CF4FE3">
      <w:pPr>
        <w:spacing w:beforeLines="0" w:before="0" w:afterLines="0" w:after="0"/>
        <w:ind w:firstLine="480"/>
      </w:pPr>
    </w:p>
    <w:p w:rsidR="0042658C" w:rsidRDefault="0042658C" w:rsidP="00CF4FE3">
      <w:pPr>
        <w:spacing w:beforeLines="0" w:before="0" w:afterLines="0" w:after="0"/>
        <w:ind w:firstLine="480"/>
      </w:pPr>
    </w:p>
    <w:p w:rsidR="0042658C" w:rsidRDefault="0042658C" w:rsidP="00CF4FE3">
      <w:pPr>
        <w:spacing w:beforeLines="0" w:before="0" w:afterLines="0" w:after="0"/>
        <w:ind w:firstLine="480"/>
      </w:pPr>
    </w:p>
    <w:p w:rsidR="0042658C" w:rsidRDefault="0042658C" w:rsidP="00CF4FE3">
      <w:pPr>
        <w:spacing w:beforeLines="0" w:before="0" w:afterLines="0" w:after="0"/>
        <w:ind w:firstLine="480"/>
      </w:pPr>
    </w:p>
    <w:p w:rsidR="0042658C" w:rsidRDefault="0042658C" w:rsidP="00CF4FE3">
      <w:pPr>
        <w:spacing w:beforeLines="0" w:before="0" w:afterLines="0" w:after="0"/>
        <w:ind w:firstLine="480"/>
      </w:pPr>
      <w:r>
        <w:rPr>
          <w:rFonts w:hint="eastAsia"/>
        </w:rPr>
        <w:t>保荐代表人：</w:t>
      </w:r>
      <w:r>
        <w:rPr>
          <w:rFonts w:hint="eastAsia"/>
          <w:u w:val="single"/>
        </w:rPr>
        <w:t xml:space="preserve">                </w:t>
      </w:r>
      <w:r>
        <w:t xml:space="preserve">            </w:t>
      </w:r>
      <w:r>
        <w:rPr>
          <w:u w:val="single"/>
        </w:rPr>
        <w:t xml:space="preserve">                </w:t>
      </w:r>
    </w:p>
    <w:p w:rsidR="0042658C" w:rsidRDefault="0042658C" w:rsidP="00CF4FE3">
      <w:pPr>
        <w:tabs>
          <w:tab w:val="left" w:pos="2340"/>
          <w:tab w:val="left" w:pos="6165"/>
        </w:tabs>
        <w:spacing w:beforeLines="0" w:before="0" w:afterLines="0" w:after="0"/>
        <w:ind w:firstLine="480"/>
      </w:pPr>
      <w:r>
        <w:tab/>
      </w:r>
      <w:proofErr w:type="gramStart"/>
      <w:r>
        <w:t>张嘉棋</w:t>
      </w:r>
      <w:proofErr w:type="gramEnd"/>
      <w:r>
        <w:tab/>
      </w:r>
      <w:bookmarkStart w:id="0" w:name="_GoBack"/>
      <w:bookmarkEnd w:id="0"/>
      <w:r>
        <w:t>李尧</w:t>
      </w:r>
    </w:p>
    <w:p w:rsidR="0042658C" w:rsidRPr="0042658C" w:rsidRDefault="0042658C" w:rsidP="00CF4FE3">
      <w:pPr>
        <w:spacing w:beforeLines="0" w:before="0" w:afterLines="0" w:after="0"/>
        <w:ind w:firstLine="480"/>
      </w:pPr>
    </w:p>
    <w:p w:rsidR="0042658C" w:rsidRPr="0042658C" w:rsidRDefault="0042658C" w:rsidP="00CF4FE3">
      <w:pPr>
        <w:spacing w:beforeLines="0" w:before="0" w:afterLines="0" w:after="0"/>
        <w:ind w:firstLine="480"/>
      </w:pPr>
    </w:p>
    <w:p w:rsidR="0042658C" w:rsidRDefault="0042658C" w:rsidP="00CF4FE3">
      <w:pPr>
        <w:tabs>
          <w:tab w:val="left" w:pos="5820"/>
        </w:tabs>
        <w:spacing w:beforeLines="0" w:before="0" w:afterLines="0" w:after="0"/>
        <w:ind w:firstLine="480"/>
      </w:pPr>
      <w:r>
        <w:tab/>
      </w:r>
      <w:r>
        <w:t>天风证券股份有限公司</w:t>
      </w:r>
    </w:p>
    <w:p w:rsidR="0042658C" w:rsidRDefault="0042658C" w:rsidP="00CF4FE3">
      <w:pPr>
        <w:tabs>
          <w:tab w:val="left" w:pos="5820"/>
        </w:tabs>
        <w:spacing w:beforeLines="0" w:before="0" w:afterLines="0" w:after="0"/>
        <w:ind w:firstLine="480"/>
      </w:pPr>
    </w:p>
    <w:p w:rsidR="0042658C" w:rsidRPr="0042658C" w:rsidRDefault="0042658C" w:rsidP="00CF4FE3">
      <w:pPr>
        <w:tabs>
          <w:tab w:val="left" w:pos="5820"/>
        </w:tabs>
        <w:spacing w:beforeLines="0" w:before="0" w:afterLines="0" w:after="0"/>
        <w:ind w:firstLine="480"/>
        <w:jc w:val="right"/>
      </w:pPr>
      <w:r>
        <w:t>年</w:t>
      </w:r>
      <w:r>
        <w:rPr>
          <w:rFonts w:hint="eastAsia"/>
        </w:rPr>
        <w:t xml:space="preserve">    </w:t>
      </w:r>
      <w:r>
        <w:rPr>
          <w:rFonts w:hint="eastAsia"/>
        </w:rPr>
        <w:t>月</w:t>
      </w:r>
      <w:r>
        <w:rPr>
          <w:rFonts w:hint="eastAsia"/>
        </w:rPr>
        <w:t xml:space="preserve">    </w:t>
      </w:r>
      <w:r>
        <w:rPr>
          <w:rFonts w:hint="eastAsia"/>
        </w:rPr>
        <w:t>日</w:t>
      </w:r>
    </w:p>
    <w:sectPr w:rsidR="0042658C" w:rsidRPr="0042658C" w:rsidSect="004E726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E14" w:rsidRDefault="00794E14" w:rsidP="00C720DF">
      <w:pPr>
        <w:spacing w:before="120" w:after="120" w:line="240" w:lineRule="auto"/>
        <w:ind w:firstLine="480"/>
      </w:pPr>
      <w:r>
        <w:separator/>
      </w:r>
    </w:p>
  </w:endnote>
  <w:endnote w:type="continuationSeparator" w:id="0">
    <w:p w:rsidR="00794E14" w:rsidRDefault="00794E14" w:rsidP="00C720DF">
      <w:pPr>
        <w:spacing w:before="120"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DF" w:rsidRDefault="00C720DF">
    <w:pPr>
      <w:pStyle w:val="a4"/>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DF" w:rsidRDefault="00C720DF">
    <w:pPr>
      <w:pStyle w:val="a4"/>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DF" w:rsidRDefault="00C720DF">
    <w:pPr>
      <w:pStyle w:val="a4"/>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E14" w:rsidRDefault="00794E14" w:rsidP="00C720DF">
      <w:pPr>
        <w:spacing w:before="120" w:after="120" w:line="240" w:lineRule="auto"/>
        <w:ind w:firstLine="480"/>
      </w:pPr>
      <w:r>
        <w:separator/>
      </w:r>
    </w:p>
  </w:footnote>
  <w:footnote w:type="continuationSeparator" w:id="0">
    <w:p w:rsidR="00794E14" w:rsidRDefault="00794E14" w:rsidP="00C720DF">
      <w:pPr>
        <w:spacing w:before="120" w:after="12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DF" w:rsidRDefault="00C720DF">
    <w:pPr>
      <w:pStyle w:val="a3"/>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DF" w:rsidRDefault="00C720DF" w:rsidP="0076057D">
    <w:pPr>
      <w:pStyle w:val="a3"/>
      <w:pBdr>
        <w:bottom w:val="none" w:sz="0" w:space="0" w:color="auto"/>
      </w:pBdr>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DF" w:rsidRDefault="00C720DF">
    <w:pPr>
      <w:pStyle w:val="a3"/>
      <w:spacing w:before="120"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3884C0"/>
    <w:multiLevelType w:val="singleLevel"/>
    <w:tmpl w:val="623884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81"/>
    <w:rsid w:val="00007777"/>
    <w:rsid w:val="000111F5"/>
    <w:rsid w:val="00027A63"/>
    <w:rsid w:val="00081E73"/>
    <w:rsid w:val="00104621"/>
    <w:rsid w:val="00113FA0"/>
    <w:rsid w:val="001279F5"/>
    <w:rsid w:val="001D4638"/>
    <w:rsid w:val="00200FA0"/>
    <w:rsid w:val="00224F69"/>
    <w:rsid w:val="00251019"/>
    <w:rsid w:val="00292C81"/>
    <w:rsid w:val="002D346A"/>
    <w:rsid w:val="002D4131"/>
    <w:rsid w:val="00362C40"/>
    <w:rsid w:val="00373E56"/>
    <w:rsid w:val="00412972"/>
    <w:rsid w:val="00423C58"/>
    <w:rsid w:val="0042658C"/>
    <w:rsid w:val="004B1A17"/>
    <w:rsid w:val="004C2EDE"/>
    <w:rsid w:val="004E7268"/>
    <w:rsid w:val="004F0AEE"/>
    <w:rsid w:val="00501795"/>
    <w:rsid w:val="00573A6B"/>
    <w:rsid w:val="00591241"/>
    <w:rsid w:val="005927A8"/>
    <w:rsid w:val="005D522B"/>
    <w:rsid w:val="0062546F"/>
    <w:rsid w:val="006512E9"/>
    <w:rsid w:val="0065700F"/>
    <w:rsid w:val="006648D2"/>
    <w:rsid w:val="006C04BD"/>
    <w:rsid w:val="006C440A"/>
    <w:rsid w:val="00701074"/>
    <w:rsid w:val="00703E7B"/>
    <w:rsid w:val="007137AE"/>
    <w:rsid w:val="0076057D"/>
    <w:rsid w:val="007674C9"/>
    <w:rsid w:val="00776D5B"/>
    <w:rsid w:val="00794E14"/>
    <w:rsid w:val="007B7031"/>
    <w:rsid w:val="007F58A6"/>
    <w:rsid w:val="008C0381"/>
    <w:rsid w:val="008C338E"/>
    <w:rsid w:val="0093730A"/>
    <w:rsid w:val="00964526"/>
    <w:rsid w:val="009B6841"/>
    <w:rsid w:val="00A371AE"/>
    <w:rsid w:val="00A56356"/>
    <w:rsid w:val="00AB4207"/>
    <w:rsid w:val="00B10B04"/>
    <w:rsid w:val="00B46B74"/>
    <w:rsid w:val="00B5078F"/>
    <w:rsid w:val="00BE3F1A"/>
    <w:rsid w:val="00C60A61"/>
    <w:rsid w:val="00C720DF"/>
    <w:rsid w:val="00CA3560"/>
    <w:rsid w:val="00CC6153"/>
    <w:rsid w:val="00CD705A"/>
    <w:rsid w:val="00CF4FE3"/>
    <w:rsid w:val="00D03328"/>
    <w:rsid w:val="00D40640"/>
    <w:rsid w:val="00DB027C"/>
    <w:rsid w:val="00DB32FE"/>
    <w:rsid w:val="00DF0041"/>
    <w:rsid w:val="00E15A9F"/>
    <w:rsid w:val="00E80798"/>
    <w:rsid w:val="00E91334"/>
    <w:rsid w:val="00F308D8"/>
    <w:rsid w:val="00FF3395"/>
    <w:rsid w:val="00FF3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A935D-C055-4F08-8850-BC1A6177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wyz正文"/>
    <w:qFormat/>
    <w:rsid w:val="00A371AE"/>
    <w:pPr>
      <w:widowControl w:val="0"/>
      <w:spacing w:beforeLines="50" w:before="50" w:afterLines="50" w:after="50" w:line="360" w:lineRule="auto"/>
      <w:ind w:firstLineChars="200" w:firstLine="200"/>
      <w:jc w:val="both"/>
    </w:pPr>
    <w:rPr>
      <w:rFonts w:ascii="Times New Roman" w:hAnsi="Times New Roman"/>
      <w:sz w:val="24"/>
    </w:rPr>
  </w:style>
  <w:style w:type="paragraph" w:styleId="1">
    <w:name w:val="heading 1"/>
    <w:aliases w:val="标题1wyz"/>
    <w:basedOn w:val="a"/>
    <w:next w:val="a"/>
    <w:link w:val="1Char"/>
    <w:uiPriority w:val="9"/>
    <w:qFormat/>
    <w:rsid w:val="001D4638"/>
    <w:pPr>
      <w:keepNext/>
      <w:keepLines/>
      <w:spacing w:beforeLines="100" w:before="100" w:afterLines="100" w:after="100" w:line="578" w:lineRule="auto"/>
      <w:ind w:firstLineChars="0" w:firstLine="0"/>
      <w:jc w:val="center"/>
      <w:outlineLvl w:val="0"/>
    </w:pPr>
    <w:rPr>
      <w:rFonts w:eastAsia="黑体"/>
      <w:b/>
      <w:bCs/>
      <w:kern w:val="44"/>
      <w:sz w:val="30"/>
      <w:szCs w:val="44"/>
    </w:rPr>
  </w:style>
  <w:style w:type="paragraph" w:styleId="2">
    <w:name w:val="heading 2"/>
    <w:aliases w:val="标题 2wyz"/>
    <w:basedOn w:val="a"/>
    <w:next w:val="a"/>
    <w:link w:val="2Char"/>
    <w:uiPriority w:val="9"/>
    <w:unhideWhenUsed/>
    <w:qFormat/>
    <w:rsid w:val="00113FA0"/>
    <w:pPr>
      <w:keepNext/>
      <w:keepLines/>
      <w:outlineLvl w:val="1"/>
    </w:pPr>
    <w:rPr>
      <w:rFonts w:asciiTheme="majorHAnsi" w:eastAsia="黑体" w:hAnsiTheme="majorHAnsi" w:cstheme="majorBidi"/>
      <w:b/>
      <w:bCs/>
      <w:sz w:val="28"/>
      <w:szCs w:val="32"/>
    </w:rPr>
  </w:style>
  <w:style w:type="paragraph" w:styleId="3">
    <w:name w:val="heading 3"/>
    <w:aliases w:val="标题 3wyz"/>
    <w:basedOn w:val="a"/>
    <w:next w:val="a"/>
    <w:link w:val="3Char"/>
    <w:uiPriority w:val="9"/>
    <w:unhideWhenUsed/>
    <w:qFormat/>
    <w:rsid w:val="006C04BD"/>
    <w:pPr>
      <w:keepNext/>
      <w:keepLines/>
      <w:spacing w:beforeLines="30" w:before="30" w:afterLines="30" w:after="30"/>
      <w:outlineLvl w:val="2"/>
    </w:pPr>
    <w:rPr>
      <w:b/>
      <w:bCs/>
      <w:sz w:val="28"/>
      <w:szCs w:val="32"/>
    </w:rPr>
  </w:style>
  <w:style w:type="paragraph" w:styleId="4">
    <w:name w:val="heading 4"/>
    <w:aliases w:val="标题 4wyz"/>
    <w:basedOn w:val="a"/>
    <w:next w:val="a"/>
    <w:link w:val="4Char"/>
    <w:uiPriority w:val="9"/>
    <w:unhideWhenUsed/>
    <w:qFormat/>
    <w:rsid w:val="00F308D8"/>
    <w:pPr>
      <w:keepNext/>
      <w:keepLines/>
      <w:outlineLvl w:val="3"/>
    </w:pPr>
    <w:rPr>
      <w:rFonts w:eastAsiaTheme="majorEastAsia" w:cstheme="majorBidi"/>
      <w:b/>
      <w:bCs/>
      <w:szCs w:val="28"/>
    </w:rPr>
  </w:style>
  <w:style w:type="paragraph" w:styleId="5">
    <w:name w:val="heading 5"/>
    <w:basedOn w:val="a"/>
    <w:next w:val="a"/>
    <w:link w:val="5Char"/>
    <w:uiPriority w:val="9"/>
    <w:semiHidden/>
    <w:unhideWhenUsed/>
    <w:qFormat/>
    <w:rsid w:val="001D4638"/>
    <w:pPr>
      <w:keepNext/>
      <w:keepLines/>
      <w:spacing w:beforeLines="0" w:before="0" w:afterLines="0" w:after="0" w:line="240" w:lineRule="auto"/>
      <w:outlineLvl w:val="4"/>
    </w:pPr>
    <w:rPr>
      <w:bCs/>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1wyz Char"/>
    <w:basedOn w:val="a0"/>
    <w:link w:val="1"/>
    <w:uiPriority w:val="9"/>
    <w:rsid w:val="001D4638"/>
    <w:rPr>
      <w:rFonts w:ascii="Times New Roman" w:eastAsia="黑体" w:hAnsi="Times New Roman"/>
      <w:b/>
      <w:bCs/>
      <w:kern w:val="44"/>
      <w:sz w:val="30"/>
      <w:szCs w:val="44"/>
    </w:rPr>
  </w:style>
  <w:style w:type="character" w:customStyle="1" w:styleId="2Char">
    <w:name w:val="标题 2 Char"/>
    <w:aliases w:val="标题 2wyz Char"/>
    <w:basedOn w:val="a0"/>
    <w:link w:val="2"/>
    <w:uiPriority w:val="9"/>
    <w:rsid w:val="00113FA0"/>
    <w:rPr>
      <w:rFonts w:asciiTheme="majorHAnsi" w:eastAsia="黑体" w:hAnsiTheme="majorHAnsi" w:cstheme="majorBidi"/>
      <w:b/>
      <w:bCs/>
      <w:sz w:val="28"/>
      <w:szCs w:val="32"/>
    </w:rPr>
  </w:style>
  <w:style w:type="character" w:customStyle="1" w:styleId="3Char">
    <w:name w:val="标题 3 Char"/>
    <w:aliases w:val="标题 3wyz Char"/>
    <w:basedOn w:val="a0"/>
    <w:link w:val="3"/>
    <w:uiPriority w:val="9"/>
    <w:rsid w:val="006C04BD"/>
    <w:rPr>
      <w:rFonts w:ascii="Times New Roman" w:hAnsi="Times New Roman"/>
      <w:b/>
      <w:bCs/>
      <w:sz w:val="28"/>
      <w:szCs w:val="32"/>
    </w:rPr>
  </w:style>
  <w:style w:type="character" w:customStyle="1" w:styleId="4Char">
    <w:name w:val="标题 4 Char"/>
    <w:aliases w:val="标题 4wyz Char"/>
    <w:basedOn w:val="a0"/>
    <w:link w:val="4"/>
    <w:uiPriority w:val="9"/>
    <w:rsid w:val="00F308D8"/>
    <w:rPr>
      <w:rFonts w:ascii="Times New Roman" w:eastAsiaTheme="majorEastAsia" w:hAnsi="Times New Roman" w:cstheme="majorBidi"/>
      <w:b/>
      <w:bCs/>
      <w:sz w:val="24"/>
      <w:szCs w:val="28"/>
    </w:rPr>
  </w:style>
  <w:style w:type="character" w:customStyle="1" w:styleId="5Char">
    <w:name w:val="标题 5 Char"/>
    <w:basedOn w:val="a0"/>
    <w:link w:val="5"/>
    <w:uiPriority w:val="9"/>
    <w:semiHidden/>
    <w:rsid w:val="001D4638"/>
    <w:rPr>
      <w:rFonts w:ascii="Times New Roman" w:hAnsi="Times New Roman"/>
      <w:bCs/>
      <w:szCs w:val="28"/>
    </w:rPr>
  </w:style>
  <w:style w:type="paragraph" w:styleId="a3">
    <w:name w:val="header"/>
    <w:basedOn w:val="a"/>
    <w:link w:val="Char"/>
    <w:uiPriority w:val="99"/>
    <w:unhideWhenUsed/>
    <w:rsid w:val="00C720D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C720DF"/>
    <w:rPr>
      <w:rFonts w:ascii="Times New Roman" w:hAnsi="Times New Roman"/>
      <w:sz w:val="18"/>
      <w:szCs w:val="18"/>
    </w:rPr>
  </w:style>
  <w:style w:type="paragraph" w:styleId="a4">
    <w:name w:val="footer"/>
    <w:basedOn w:val="a"/>
    <w:link w:val="Char0"/>
    <w:unhideWhenUsed/>
    <w:rsid w:val="00C720DF"/>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C720DF"/>
    <w:rPr>
      <w:rFonts w:ascii="Times New Roman" w:hAnsi="Times New Roman"/>
      <w:sz w:val="18"/>
      <w:szCs w:val="18"/>
    </w:rPr>
  </w:style>
  <w:style w:type="paragraph" w:styleId="a5">
    <w:name w:val="Balloon Text"/>
    <w:basedOn w:val="a"/>
    <w:link w:val="Char1"/>
    <w:uiPriority w:val="99"/>
    <w:semiHidden/>
    <w:unhideWhenUsed/>
    <w:rsid w:val="0076057D"/>
    <w:pPr>
      <w:spacing w:before="0" w:after="0" w:line="240" w:lineRule="auto"/>
    </w:pPr>
    <w:rPr>
      <w:sz w:val="18"/>
      <w:szCs w:val="18"/>
    </w:rPr>
  </w:style>
  <w:style w:type="character" w:customStyle="1" w:styleId="Char1">
    <w:name w:val="批注框文本 Char"/>
    <w:basedOn w:val="a0"/>
    <w:link w:val="a5"/>
    <w:uiPriority w:val="99"/>
    <w:semiHidden/>
    <w:rsid w:val="0076057D"/>
    <w:rPr>
      <w:rFonts w:ascii="Times New Roman" w:hAnsi="Times New Roman"/>
      <w:sz w:val="18"/>
      <w:szCs w:val="18"/>
    </w:rPr>
  </w:style>
  <w:style w:type="paragraph" w:customStyle="1" w:styleId="Section">
    <w:name w:val="Section"/>
    <w:next w:val="a"/>
    <w:uiPriority w:val="99"/>
    <w:unhideWhenUsed/>
    <w:rsid w:val="00501795"/>
    <w:pPr>
      <w:keepNext/>
      <w:keepLines/>
      <w:widowControl w:val="0"/>
      <w:spacing w:before="300" w:after="300" w:line="241" w:lineRule="auto"/>
      <w:jc w:val="both"/>
    </w:pPr>
    <w:rPr>
      <w:rFonts w:ascii="Times New Roman" w:eastAsia="宋体" w:hAnsi="Times New Roman" w:cs="Times New Roman" w:hint="eastAsia"/>
      <w:b/>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formulas xmlns="http://www.yonyou.com/formula"/>
</file>

<file path=customXml/item3.xml><?xml version="1.0" encoding="utf-8"?>
<relations xmlns="http://www.yonyou.com/relation"/>
</file>

<file path=customXml/itemProps1.xml><?xml version="1.0" encoding="utf-8"?>
<ds:datastoreItem xmlns:ds="http://schemas.openxmlformats.org/officeDocument/2006/customXml" ds:itemID="{E2113E7B-7899-4EB2-8F8E-187171679C1B}">
  <ds:schemaRefs>
    <ds:schemaRef ds:uri="http://www.yonyou.com/datasource"/>
  </ds:schemaRefs>
</ds:datastoreItem>
</file>

<file path=customXml/itemProps2.xml><?xml version="1.0" encoding="utf-8"?>
<ds:datastoreItem xmlns:ds="http://schemas.openxmlformats.org/officeDocument/2006/customXml" ds:itemID="{5F1858D1-9E62-4A92-8C73-22BD962C0429}">
  <ds:schemaRefs>
    <ds:schemaRef ds:uri="http://www.yonyou.com/formula"/>
  </ds:schemaRefs>
</ds:datastoreItem>
</file>

<file path=customXml/itemProps3.xml><?xml version="1.0" encoding="utf-8"?>
<ds:datastoreItem xmlns:ds="http://schemas.openxmlformats.org/officeDocument/2006/customXml" ds:itemID="{2BA8D3EF-F9F5-4909-8861-CCF3C74AA538}">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728</Words>
  <Characters>4152</Characters>
  <Application>Microsoft Office Word</Application>
  <DocSecurity>0</DocSecurity>
  <Lines>34</Lines>
  <Paragraphs>9</Paragraphs>
  <ScaleCrop>false</ScaleCrop>
  <Company>Microsoft</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王彦忠</dc:creator>
  <cp:keywords/>
  <dc:description/>
  <cp:lastModifiedBy>王 彦忠</cp:lastModifiedBy>
  <cp:revision>44</cp:revision>
  <cp:lastPrinted>2019-04-16T01:18:00Z</cp:lastPrinted>
  <dcterms:created xsi:type="dcterms:W3CDTF">2018-03-27T07:01:00Z</dcterms:created>
  <dcterms:modified xsi:type="dcterms:W3CDTF">2019-04-16T01:18:00Z</dcterms:modified>
</cp:coreProperties>
</file>