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FCD" w:rsidRDefault="00343C0E">
      <w:pPr>
        <w:widowControl/>
        <w:overflowPunct w:val="0"/>
        <w:autoSpaceDE w:val="0"/>
        <w:autoSpaceDN w:val="0"/>
        <w:adjustRightInd w:val="0"/>
        <w:snapToGrid w:val="0"/>
        <w:spacing w:line="360" w:lineRule="auto"/>
        <w:jc w:val="left"/>
        <w:textAlignment w:val="baseline"/>
        <w:rPr>
          <w:rFonts w:cs="Times New Roman"/>
          <w:snapToGrid w:val="0"/>
          <w:color w:val="000000" w:themeColor="text1"/>
          <w:kern w:val="0"/>
          <w:szCs w:val="21"/>
        </w:rPr>
      </w:pPr>
      <w:r>
        <w:rPr>
          <w:rFonts w:cs="Times New Roman"/>
          <w:snapToGrid w:val="0"/>
          <w:color w:val="000000" w:themeColor="text1"/>
          <w:kern w:val="0"/>
          <w:szCs w:val="21"/>
        </w:rPr>
        <w:t>公司代码：</w:t>
      </w:r>
      <w:r>
        <w:rPr>
          <w:rFonts w:cs="Times New Roman"/>
          <w:snapToGrid w:val="0"/>
          <w:color w:val="000000" w:themeColor="text1"/>
          <w:kern w:val="0"/>
          <w:szCs w:val="21"/>
        </w:rPr>
        <w:t xml:space="preserve">000605         </w:t>
      </w:r>
      <w:r>
        <w:rPr>
          <w:rFonts w:cs="Times New Roman"/>
          <w:snapToGrid w:val="0"/>
          <w:color w:val="000000" w:themeColor="text1"/>
          <w:kern w:val="0"/>
          <w:szCs w:val="21"/>
        </w:rPr>
        <w:t>公司简称：渤海股份</w:t>
      </w:r>
      <w:r>
        <w:rPr>
          <w:rFonts w:cs="Times New Roman"/>
          <w:snapToGrid w:val="0"/>
          <w:color w:val="000000" w:themeColor="text1"/>
          <w:kern w:val="0"/>
          <w:szCs w:val="21"/>
        </w:rPr>
        <w:t xml:space="preserve"> </w:t>
      </w:r>
      <w:r w:rsidR="00EA669B">
        <w:rPr>
          <w:rFonts w:cs="Times New Roman"/>
          <w:snapToGrid w:val="0"/>
          <w:color w:val="000000" w:themeColor="text1"/>
          <w:kern w:val="0"/>
          <w:szCs w:val="21"/>
        </w:rPr>
        <w:t xml:space="preserve">    </w:t>
      </w:r>
      <w:r>
        <w:rPr>
          <w:rFonts w:cs="Times New Roman"/>
          <w:snapToGrid w:val="0"/>
          <w:color w:val="000000" w:themeColor="text1"/>
          <w:kern w:val="0"/>
          <w:szCs w:val="21"/>
        </w:rPr>
        <w:t xml:space="preserve">   </w:t>
      </w:r>
      <w:r>
        <w:rPr>
          <w:rFonts w:cs="Times New Roman"/>
          <w:snapToGrid w:val="0"/>
          <w:color w:val="000000" w:themeColor="text1"/>
          <w:kern w:val="0"/>
          <w:szCs w:val="21"/>
        </w:rPr>
        <w:t>公告编号：</w:t>
      </w:r>
      <w:r>
        <w:rPr>
          <w:rFonts w:cs="Times New Roman"/>
          <w:snapToGrid w:val="0"/>
          <w:color w:val="000000" w:themeColor="text1"/>
          <w:kern w:val="0"/>
          <w:szCs w:val="21"/>
        </w:rPr>
        <w:t>2024-004</w:t>
      </w:r>
    </w:p>
    <w:p w:rsidR="003C3FCD" w:rsidRDefault="003C3FCD">
      <w:pPr>
        <w:widowControl/>
        <w:overflowPunct w:val="0"/>
        <w:autoSpaceDE w:val="0"/>
        <w:autoSpaceDN w:val="0"/>
        <w:adjustRightInd w:val="0"/>
        <w:snapToGrid w:val="0"/>
        <w:spacing w:line="360" w:lineRule="auto"/>
        <w:jc w:val="left"/>
        <w:textAlignment w:val="baseline"/>
        <w:rPr>
          <w:rFonts w:cs="Times New Roman"/>
          <w:snapToGrid w:val="0"/>
          <w:color w:val="000000" w:themeColor="text1"/>
          <w:kern w:val="0"/>
          <w:szCs w:val="21"/>
        </w:rPr>
      </w:pPr>
    </w:p>
    <w:p w:rsidR="003C3FCD" w:rsidRDefault="003C3FCD">
      <w:pPr>
        <w:widowControl/>
        <w:overflowPunct w:val="0"/>
        <w:autoSpaceDE w:val="0"/>
        <w:autoSpaceDN w:val="0"/>
        <w:adjustRightInd w:val="0"/>
        <w:snapToGrid w:val="0"/>
        <w:spacing w:line="360" w:lineRule="auto"/>
        <w:jc w:val="left"/>
        <w:textAlignment w:val="baseline"/>
        <w:rPr>
          <w:rFonts w:cs="Times New Roman"/>
          <w:snapToGrid w:val="0"/>
          <w:color w:val="000000" w:themeColor="text1"/>
          <w:kern w:val="0"/>
          <w:szCs w:val="21"/>
        </w:rPr>
      </w:pPr>
    </w:p>
    <w:p w:rsidR="003C3FCD" w:rsidRDefault="00343C0E">
      <w:pPr>
        <w:widowControl/>
        <w:overflowPunct w:val="0"/>
        <w:autoSpaceDE w:val="0"/>
        <w:autoSpaceDN w:val="0"/>
        <w:adjustRightInd w:val="0"/>
        <w:snapToGrid w:val="0"/>
        <w:spacing w:line="360" w:lineRule="auto"/>
        <w:jc w:val="center"/>
        <w:textAlignment w:val="baseline"/>
        <w:rPr>
          <w:rFonts w:eastAsia="等线" w:cs="Times New Roman"/>
          <w:snapToGrid w:val="0"/>
          <w:color w:val="000000" w:themeColor="text1"/>
          <w:kern w:val="0"/>
          <w:sz w:val="21"/>
          <w:szCs w:val="21"/>
        </w:rPr>
      </w:pPr>
      <w:r>
        <w:rPr>
          <w:rFonts w:eastAsia="等线" w:cs="Times New Roman"/>
          <w:noProof/>
          <w:snapToGrid w:val="0"/>
          <w:color w:val="000000" w:themeColor="text1"/>
          <w:kern w:val="0"/>
          <w:sz w:val="21"/>
          <w:szCs w:val="21"/>
        </w:rPr>
        <w:drawing>
          <wp:inline distT="0" distB="0" distL="0" distR="0">
            <wp:extent cx="2368550" cy="19056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2382728" cy="1917395"/>
                    </a:xfrm>
                    <a:prstGeom prst="rect">
                      <a:avLst/>
                    </a:prstGeom>
                  </pic:spPr>
                </pic:pic>
              </a:graphicData>
            </a:graphic>
          </wp:inline>
        </w:drawing>
      </w:r>
    </w:p>
    <w:p w:rsidR="003C3FCD" w:rsidRDefault="003C3FCD">
      <w:pPr>
        <w:widowControl/>
        <w:overflowPunct w:val="0"/>
        <w:autoSpaceDE w:val="0"/>
        <w:autoSpaceDN w:val="0"/>
        <w:adjustRightInd w:val="0"/>
        <w:snapToGrid w:val="0"/>
        <w:spacing w:line="360" w:lineRule="auto"/>
        <w:jc w:val="left"/>
        <w:textAlignment w:val="baseline"/>
        <w:rPr>
          <w:rFonts w:eastAsia="等线" w:cs="Times New Roman"/>
          <w:snapToGrid w:val="0"/>
          <w:color w:val="000000" w:themeColor="text1"/>
          <w:kern w:val="0"/>
          <w:sz w:val="21"/>
          <w:szCs w:val="21"/>
        </w:rPr>
      </w:pPr>
    </w:p>
    <w:p w:rsidR="003C3FCD" w:rsidRDefault="003C3FCD">
      <w:pPr>
        <w:widowControl/>
        <w:overflowPunct w:val="0"/>
        <w:autoSpaceDE w:val="0"/>
        <w:autoSpaceDN w:val="0"/>
        <w:adjustRightInd w:val="0"/>
        <w:snapToGrid w:val="0"/>
        <w:spacing w:line="360" w:lineRule="auto"/>
        <w:jc w:val="left"/>
        <w:textAlignment w:val="baseline"/>
        <w:rPr>
          <w:rFonts w:eastAsia="等线" w:cs="Times New Roman"/>
          <w:snapToGrid w:val="0"/>
          <w:color w:val="000000" w:themeColor="text1"/>
          <w:kern w:val="0"/>
          <w:sz w:val="21"/>
          <w:szCs w:val="21"/>
        </w:rPr>
      </w:pPr>
    </w:p>
    <w:p w:rsidR="003C3FCD" w:rsidRDefault="003C3FCD">
      <w:pPr>
        <w:widowControl/>
        <w:overflowPunct w:val="0"/>
        <w:autoSpaceDE w:val="0"/>
        <w:autoSpaceDN w:val="0"/>
        <w:adjustRightInd w:val="0"/>
        <w:snapToGrid w:val="0"/>
        <w:spacing w:line="360" w:lineRule="auto"/>
        <w:jc w:val="left"/>
        <w:textAlignment w:val="baseline"/>
        <w:rPr>
          <w:rFonts w:eastAsia="Arial" w:cs="Times New Roman"/>
          <w:snapToGrid w:val="0"/>
          <w:color w:val="000000" w:themeColor="text1"/>
          <w:kern w:val="0"/>
          <w:sz w:val="21"/>
          <w:szCs w:val="21"/>
        </w:rPr>
      </w:pPr>
    </w:p>
    <w:p w:rsidR="003C3FCD" w:rsidRDefault="00343C0E">
      <w:pPr>
        <w:widowControl/>
        <w:overflowPunct w:val="0"/>
        <w:autoSpaceDE w:val="0"/>
        <w:autoSpaceDN w:val="0"/>
        <w:adjustRightInd w:val="0"/>
        <w:snapToGrid w:val="0"/>
        <w:spacing w:line="360" w:lineRule="auto"/>
        <w:jc w:val="center"/>
        <w:textAlignment w:val="baseline"/>
        <w:rPr>
          <w:rFonts w:cs="Times New Roman"/>
          <w:b/>
          <w:snapToGrid w:val="0"/>
          <w:color w:val="000000" w:themeColor="text1"/>
          <w:kern w:val="0"/>
          <w:sz w:val="48"/>
          <w:szCs w:val="48"/>
        </w:rPr>
      </w:pPr>
      <w:r>
        <w:rPr>
          <w:rFonts w:cs="Times New Roman"/>
          <w:b/>
          <w:snapToGrid w:val="0"/>
          <w:color w:val="000000" w:themeColor="text1"/>
          <w:kern w:val="0"/>
          <w:sz w:val="48"/>
          <w:szCs w:val="48"/>
        </w:rPr>
        <w:t>渤海水业股份有限公司</w:t>
      </w:r>
    </w:p>
    <w:p w:rsidR="003C3FCD" w:rsidRDefault="003C3FCD">
      <w:pPr>
        <w:widowControl/>
        <w:overflowPunct w:val="0"/>
        <w:autoSpaceDE w:val="0"/>
        <w:autoSpaceDN w:val="0"/>
        <w:adjustRightInd w:val="0"/>
        <w:snapToGrid w:val="0"/>
        <w:spacing w:line="360" w:lineRule="auto"/>
        <w:jc w:val="center"/>
        <w:textAlignment w:val="baseline"/>
        <w:rPr>
          <w:rFonts w:eastAsiaTheme="minorEastAsia" w:cs="Times New Roman"/>
          <w:b/>
          <w:snapToGrid w:val="0"/>
          <w:color w:val="000000" w:themeColor="text1"/>
          <w:kern w:val="0"/>
          <w:sz w:val="21"/>
          <w:szCs w:val="21"/>
        </w:rPr>
      </w:pPr>
    </w:p>
    <w:p w:rsidR="003C3FCD" w:rsidRDefault="003C3FCD">
      <w:pPr>
        <w:widowControl/>
        <w:overflowPunct w:val="0"/>
        <w:autoSpaceDE w:val="0"/>
        <w:autoSpaceDN w:val="0"/>
        <w:adjustRightInd w:val="0"/>
        <w:snapToGrid w:val="0"/>
        <w:spacing w:line="360" w:lineRule="auto"/>
        <w:jc w:val="center"/>
        <w:textAlignment w:val="baseline"/>
        <w:rPr>
          <w:rFonts w:eastAsiaTheme="minorEastAsia" w:cs="Times New Roman"/>
          <w:b/>
          <w:snapToGrid w:val="0"/>
          <w:color w:val="000000" w:themeColor="text1"/>
          <w:kern w:val="0"/>
          <w:sz w:val="21"/>
          <w:szCs w:val="21"/>
        </w:rPr>
      </w:pPr>
    </w:p>
    <w:p w:rsidR="003C3FCD" w:rsidRDefault="00343C0E">
      <w:pPr>
        <w:widowControl/>
        <w:overflowPunct w:val="0"/>
        <w:autoSpaceDE w:val="0"/>
        <w:autoSpaceDN w:val="0"/>
        <w:adjustRightInd w:val="0"/>
        <w:snapToGrid w:val="0"/>
        <w:spacing w:line="360" w:lineRule="auto"/>
        <w:jc w:val="center"/>
        <w:textAlignment w:val="baseline"/>
        <w:rPr>
          <w:rFonts w:cs="Times New Roman"/>
          <w:b/>
          <w:snapToGrid w:val="0"/>
          <w:color w:val="000000" w:themeColor="text1"/>
          <w:kern w:val="0"/>
          <w:sz w:val="48"/>
          <w:szCs w:val="48"/>
        </w:rPr>
      </w:pPr>
      <w:r>
        <w:rPr>
          <w:rFonts w:cs="Times New Roman"/>
          <w:b/>
          <w:snapToGrid w:val="0"/>
          <w:color w:val="000000" w:themeColor="text1"/>
          <w:kern w:val="0"/>
          <w:sz w:val="48"/>
          <w:szCs w:val="48"/>
        </w:rPr>
        <w:t>关于公司</w:t>
      </w:r>
      <w:r>
        <w:rPr>
          <w:rFonts w:cs="Times New Roman"/>
          <w:b/>
          <w:snapToGrid w:val="0"/>
          <w:color w:val="000000" w:themeColor="text1"/>
          <w:kern w:val="0"/>
          <w:sz w:val="48"/>
          <w:szCs w:val="48"/>
        </w:rPr>
        <w:t>2024</w:t>
      </w:r>
      <w:r>
        <w:rPr>
          <w:rFonts w:cs="Times New Roman"/>
          <w:b/>
          <w:snapToGrid w:val="0"/>
          <w:color w:val="000000" w:themeColor="text1"/>
          <w:kern w:val="0"/>
          <w:sz w:val="48"/>
          <w:szCs w:val="48"/>
        </w:rPr>
        <w:t>年度</w:t>
      </w:r>
    </w:p>
    <w:p w:rsidR="003C3FCD" w:rsidRDefault="003C3FCD">
      <w:pPr>
        <w:widowControl/>
        <w:overflowPunct w:val="0"/>
        <w:autoSpaceDE w:val="0"/>
        <w:autoSpaceDN w:val="0"/>
        <w:adjustRightInd w:val="0"/>
        <w:snapToGrid w:val="0"/>
        <w:spacing w:line="360" w:lineRule="auto"/>
        <w:jc w:val="center"/>
        <w:textAlignment w:val="baseline"/>
        <w:rPr>
          <w:rFonts w:eastAsiaTheme="minorEastAsia" w:cs="Times New Roman"/>
          <w:b/>
          <w:snapToGrid w:val="0"/>
          <w:color w:val="000000" w:themeColor="text1"/>
          <w:kern w:val="0"/>
          <w:sz w:val="21"/>
          <w:szCs w:val="21"/>
        </w:rPr>
      </w:pPr>
    </w:p>
    <w:p w:rsidR="003C3FCD" w:rsidRDefault="003C3FCD">
      <w:pPr>
        <w:widowControl/>
        <w:overflowPunct w:val="0"/>
        <w:autoSpaceDE w:val="0"/>
        <w:autoSpaceDN w:val="0"/>
        <w:adjustRightInd w:val="0"/>
        <w:snapToGrid w:val="0"/>
        <w:spacing w:line="360" w:lineRule="auto"/>
        <w:jc w:val="center"/>
        <w:textAlignment w:val="baseline"/>
        <w:rPr>
          <w:rFonts w:eastAsiaTheme="minorEastAsia" w:cs="Times New Roman"/>
          <w:b/>
          <w:snapToGrid w:val="0"/>
          <w:color w:val="000000" w:themeColor="text1"/>
          <w:kern w:val="0"/>
          <w:sz w:val="21"/>
          <w:szCs w:val="21"/>
        </w:rPr>
      </w:pPr>
    </w:p>
    <w:p w:rsidR="003C3FCD" w:rsidRDefault="00343C0E">
      <w:pPr>
        <w:widowControl/>
        <w:overflowPunct w:val="0"/>
        <w:autoSpaceDE w:val="0"/>
        <w:autoSpaceDN w:val="0"/>
        <w:adjustRightInd w:val="0"/>
        <w:snapToGrid w:val="0"/>
        <w:spacing w:line="360" w:lineRule="auto"/>
        <w:jc w:val="center"/>
        <w:textAlignment w:val="baseline"/>
        <w:rPr>
          <w:rFonts w:cs="Times New Roman"/>
          <w:b/>
          <w:snapToGrid w:val="0"/>
          <w:color w:val="000000" w:themeColor="text1"/>
          <w:kern w:val="0"/>
          <w:sz w:val="48"/>
          <w:szCs w:val="48"/>
        </w:rPr>
      </w:pPr>
      <w:r>
        <w:rPr>
          <w:rFonts w:cs="Times New Roman"/>
          <w:b/>
          <w:snapToGrid w:val="0"/>
          <w:color w:val="000000" w:themeColor="text1"/>
          <w:kern w:val="0"/>
          <w:sz w:val="48"/>
          <w:szCs w:val="48"/>
        </w:rPr>
        <w:t>以简易程序向特定对象发行股票预案</w:t>
      </w:r>
    </w:p>
    <w:p w:rsidR="003C3FCD" w:rsidRDefault="003C3FCD">
      <w:pPr>
        <w:widowControl/>
        <w:overflowPunct w:val="0"/>
        <w:autoSpaceDE w:val="0"/>
        <w:autoSpaceDN w:val="0"/>
        <w:adjustRightInd w:val="0"/>
        <w:snapToGrid w:val="0"/>
        <w:spacing w:line="360" w:lineRule="auto"/>
        <w:jc w:val="left"/>
        <w:textAlignment w:val="baseline"/>
        <w:rPr>
          <w:rFonts w:eastAsia="等线" w:cs="Times New Roman"/>
          <w:snapToGrid w:val="0"/>
          <w:color w:val="000000" w:themeColor="text1"/>
          <w:kern w:val="0"/>
          <w:sz w:val="21"/>
          <w:szCs w:val="21"/>
        </w:rPr>
      </w:pPr>
    </w:p>
    <w:p w:rsidR="003C3FCD" w:rsidRDefault="003C3FCD">
      <w:pPr>
        <w:widowControl/>
        <w:overflowPunct w:val="0"/>
        <w:autoSpaceDE w:val="0"/>
        <w:autoSpaceDN w:val="0"/>
        <w:adjustRightInd w:val="0"/>
        <w:snapToGrid w:val="0"/>
        <w:spacing w:line="360" w:lineRule="auto"/>
        <w:jc w:val="left"/>
        <w:textAlignment w:val="baseline"/>
        <w:rPr>
          <w:rFonts w:eastAsia="等线" w:cs="Times New Roman"/>
          <w:snapToGrid w:val="0"/>
          <w:color w:val="000000" w:themeColor="text1"/>
          <w:kern w:val="0"/>
          <w:sz w:val="21"/>
          <w:szCs w:val="21"/>
        </w:rPr>
      </w:pPr>
    </w:p>
    <w:p w:rsidR="003C3FCD" w:rsidRDefault="003C3FCD">
      <w:pPr>
        <w:widowControl/>
        <w:overflowPunct w:val="0"/>
        <w:autoSpaceDE w:val="0"/>
        <w:autoSpaceDN w:val="0"/>
        <w:adjustRightInd w:val="0"/>
        <w:snapToGrid w:val="0"/>
        <w:spacing w:line="360" w:lineRule="auto"/>
        <w:jc w:val="left"/>
        <w:textAlignment w:val="baseline"/>
        <w:rPr>
          <w:rFonts w:eastAsia="等线" w:cs="Times New Roman"/>
          <w:snapToGrid w:val="0"/>
          <w:color w:val="000000" w:themeColor="text1"/>
          <w:kern w:val="0"/>
          <w:sz w:val="21"/>
          <w:szCs w:val="21"/>
        </w:rPr>
      </w:pPr>
    </w:p>
    <w:p w:rsidR="003C3FCD" w:rsidRDefault="003C3FCD">
      <w:pPr>
        <w:widowControl/>
        <w:overflowPunct w:val="0"/>
        <w:autoSpaceDE w:val="0"/>
        <w:autoSpaceDN w:val="0"/>
        <w:adjustRightInd w:val="0"/>
        <w:snapToGrid w:val="0"/>
        <w:spacing w:line="360" w:lineRule="auto"/>
        <w:jc w:val="left"/>
        <w:textAlignment w:val="baseline"/>
        <w:rPr>
          <w:rFonts w:eastAsia="等线" w:cs="Times New Roman"/>
          <w:snapToGrid w:val="0"/>
          <w:color w:val="000000" w:themeColor="text1"/>
          <w:kern w:val="0"/>
          <w:sz w:val="21"/>
          <w:szCs w:val="21"/>
        </w:rPr>
      </w:pPr>
    </w:p>
    <w:p w:rsidR="003C3FCD" w:rsidRDefault="003C3FCD">
      <w:pPr>
        <w:widowControl/>
        <w:overflowPunct w:val="0"/>
        <w:autoSpaceDE w:val="0"/>
        <w:autoSpaceDN w:val="0"/>
        <w:adjustRightInd w:val="0"/>
        <w:snapToGrid w:val="0"/>
        <w:spacing w:line="360" w:lineRule="auto"/>
        <w:jc w:val="left"/>
        <w:textAlignment w:val="baseline"/>
        <w:rPr>
          <w:rFonts w:eastAsia="等线" w:cs="Times New Roman"/>
          <w:snapToGrid w:val="0"/>
          <w:color w:val="000000" w:themeColor="text1"/>
          <w:kern w:val="0"/>
          <w:sz w:val="21"/>
          <w:szCs w:val="21"/>
        </w:rPr>
      </w:pPr>
    </w:p>
    <w:p w:rsidR="003C3FCD" w:rsidRDefault="003C3FCD">
      <w:pPr>
        <w:widowControl/>
        <w:overflowPunct w:val="0"/>
        <w:autoSpaceDE w:val="0"/>
        <w:autoSpaceDN w:val="0"/>
        <w:adjustRightInd w:val="0"/>
        <w:snapToGrid w:val="0"/>
        <w:spacing w:line="360" w:lineRule="auto"/>
        <w:jc w:val="left"/>
        <w:textAlignment w:val="baseline"/>
        <w:rPr>
          <w:rFonts w:eastAsia="等线" w:cs="Times New Roman"/>
          <w:snapToGrid w:val="0"/>
          <w:color w:val="000000" w:themeColor="text1"/>
          <w:kern w:val="0"/>
          <w:sz w:val="21"/>
          <w:szCs w:val="21"/>
        </w:rPr>
      </w:pPr>
    </w:p>
    <w:p w:rsidR="003C3FCD" w:rsidRDefault="003C3FCD">
      <w:pPr>
        <w:widowControl/>
        <w:overflowPunct w:val="0"/>
        <w:autoSpaceDE w:val="0"/>
        <w:autoSpaceDN w:val="0"/>
        <w:adjustRightInd w:val="0"/>
        <w:snapToGrid w:val="0"/>
        <w:spacing w:line="360" w:lineRule="auto"/>
        <w:jc w:val="left"/>
        <w:textAlignment w:val="baseline"/>
        <w:rPr>
          <w:rFonts w:eastAsia="等线" w:cs="Times New Roman"/>
          <w:snapToGrid w:val="0"/>
          <w:color w:val="000000" w:themeColor="text1"/>
          <w:kern w:val="0"/>
          <w:sz w:val="21"/>
          <w:szCs w:val="21"/>
        </w:rPr>
      </w:pPr>
    </w:p>
    <w:p w:rsidR="003C3FCD" w:rsidRDefault="003C3FCD">
      <w:pPr>
        <w:widowControl/>
        <w:overflowPunct w:val="0"/>
        <w:autoSpaceDE w:val="0"/>
        <w:autoSpaceDN w:val="0"/>
        <w:adjustRightInd w:val="0"/>
        <w:snapToGrid w:val="0"/>
        <w:spacing w:line="360" w:lineRule="auto"/>
        <w:jc w:val="left"/>
        <w:textAlignment w:val="baseline"/>
        <w:rPr>
          <w:rFonts w:eastAsia="等线" w:cs="Times New Roman"/>
          <w:snapToGrid w:val="0"/>
          <w:color w:val="000000" w:themeColor="text1"/>
          <w:kern w:val="0"/>
          <w:sz w:val="21"/>
          <w:szCs w:val="21"/>
        </w:rPr>
      </w:pPr>
    </w:p>
    <w:p w:rsidR="003C3FCD" w:rsidRDefault="00343C0E">
      <w:pPr>
        <w:widowControl/>
        <w:overflowPunct w:val="0"/>
        <w:autoSpaceDE w:val="0"/>
        <w:autoSpaceDN w:val="0"/>
        <w:adjustRightInd w:val="0"/>
        <w:snapToGrid w:val="0"/>
        <w:spacing w:line="360" w:lineRule="auto"/>
        <w:jc w:val="center"/>
        <w:textAlignment w:val="baseline"/>
        <w:rPr>
          <w:rFonts w:cs="Times New Roman"/>
          <w:b/>
          <w:snapToGrid w:val="0"/>
          <w:color w:val="000000" w:themeColor="text1"/>
          <w:kern w:val="0"/>
          <w:sz w:val="28"/>
          <w:szCs w:val="32"/>
        </w:rPr>
      </w:pPr>
      <w:r>
        <w:rPr>
          <w:rFonts w:cs="Times New Roman"/>
          <w:b/>
          <w:snapToGrid w:val="0"/>
          <w:color w:val="000000" w:themeColor="text1"/>
          <w:kern w:val="0"/>
          <w:sz w:val="28"/>
          <w:szCs w:val="32"/>
        </w:rPr>
        <w:t>二〇二四年一月</w:t>
      </w:r>
    </w:p>
    <w:p w:rsidR="003C3FCD" w:rsidRDefault="00343C0E">
      <w:pPr>
        <w:pStyle w:val="1"/>
        <w:jc w:val="center"/>
        <w:rPr>
          <w:rFonts w:cs="Times New Roman"/>
          <w:color w:val="000000" w:themeColor="text1"/>
          <w:sz w:val="32"/>
        </w:rPr>
      </w:pPr>
      <w:bookmarkStart w:id="0" w:name="_Toc146198203"/>
      <w:r>
        <w:rPr>
          <w:rFonts w:cs="Times New Roman"/>
          <w:color w:val="000000" w:themeColor="text1"/>
          <w:sz w:val="32"/>
        </w:rPr>
        <w:lastRenderedPageBreak/>
        <w:t>公司声明</w:t>
      </w:r>
      <w:bookmarkEnd w:id="0"/>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公司及董事会全体成员保证本预案内容真实、准确、完整，并确认不存在虚假记载、误导性陈述或重大遗漏，并承担个别和连带的法律责任。</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本预案按照《上市公司证券发行注册管理办法》等法规及规范性文件的要求编制。</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本次以简易程序向特定对象发行股票完成后，公司经营与收益的变化，由公司自行负责；因本次以简易程序向特定对象发行股票引致的投资风险，由投资者自行负责。</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本预案是公司董事会对本次以简易程序向特定对象发行股票的说明，任何与之相反的声明均属不实陈述。</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投资者如有任何疑问，应咨询自己的股票经纪人、律师、专业会计师或其他专业顾问。</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本预案所述事项并不代表审批机关对于本次以简易程序向特定对象发行股票相关事项的实质性判断、确认、批准或注册，本预案所述本次以简易程序向特定对象发行股票相关事项的生效和完成尚待取得</w:t>
      </w:r>
      <w:r w:rsidR="00D160F5">
        <w:rPr>
          <w:rFonts w:cs="Times New Roman"/>
          <w:color w:val="000000" w:themeColor="text1"/>
        </w:rPr>
        <w:t>有权国资监管部门批复、</w:t>
      </w:r>
      <w:r>
        <w:rPr>
          <w:rFonts w:cs="Times New Roman"/>
          <w:color w:val="000000" w:themeColor="text1"/>
        </w:rPr>
        <w:t>深圳证券交易所审核通过并获得中国证监会同意注册。</w:t>
      </w:r>
    </w:p>
    <w:p w:rsidR="003C3FCD" w:rsidRDefault="003C3FCD">
      <w:pPr>
        <w:spacing w:beforeLines="50" w:before="163" w:afterLines="50" w:after="163" w:line="360" w:lineRule="auto"/>
        <w:ind w:firstLineChars="200" w:firstLine="480"/>
        <w:rPr>
          <w:rFonts w:cs="Times New Roman"/>
          <w:color w:val="000000" w:themeColor="text1"/>
        </w:rPr>
      </w:pPr>
    </w:p>
    <w:p w:rsidR="003C3FCD" w:rsidRDefault="003C3FCD">
      <w:pPr>
        <w:spacing w:beforeLines="50" w:before="163" w:afterLines="50" w:after="163" w:line="360" w:lineRule="auto"/>
        <w:rPr>
          <w:rFonts w:cs="Times New Roman"/>
          <w:color w:val="000000" w:themeColor="text1"/>
        </w:rPr>
      </w:pPr>
    </w:p>
    <w:p w:rsidR="003C3FCD" w:rsidRDefault="00343C0E">
      <w:pPr>
        <w:widowControl/>
        <w:jc w:val="left"/>
        <w:rPr>
          <w:rFonts w:cs="Times New Roman"/>
          <w:color w:val="000000" w:themeColor="text1"/>
        </w:rPr>
      </w:pPr>
      <w:r>
        <w:rPr>
          <w:rFonts w:cs="Times New Roman"/>
          <w:color w:val="000000" w:themeColor="text1"/>
        </w:rPr>
        <w:br w:type="page"/>
      </w:r>
    </w:p>
    <w:p w:rsidR="003C3FCD" w:rsidRDefault="00343C0E">
      <w:pPr>
        <w:pStyle w:val="1"/>
        <w:jc w:val="center"/>
        <w:rPr>
          <w:rFonts w:cs="Times New Roman"/>
          <w:color w:val="000000" w:themeColor="text1"/>
          <w:sz w:val="32"/>
        </w:rPr>
      </w:pPr>
      <w:bookmarkStart w:id="1" w:name="_Toc146198204"/>
      <w:r>
        <w:rPr>
          <w:rFonts w:cs="Times New Roman"/>
          <w:color w:val="000000" w:themeColor="text1"/>
          <w:sz w:val="32"/>
        </w:rPr>
        <w:lastRenderedPageBreak/>
        <w:t>特别提示</w:t>
      </w:r>
      <w:bookmarkEnd w:id="1"/>
    </w:p>
    <w:p w:rsidR="003C3FCD" w:rsidRDefault="003C3FCD">
      <w:pPr>
        <w:spacing w:beforeLines="50" w:before="163" w:afterLines="50" w:after="163" w:line="360" w:lineRule="auto"/>
        <w:rPr>
          <w:rFonts w:cs="Times New Roman"/>
          <w:color w:val="000000" w:themeColor="text1"/>
        </w:rPr>
      </w:pP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本部分所述词语或简称与本预案</w:t>
      </w:r>
      <w:r>
        <w:rPr>
          <w:rFonts w:cs="Times New Roman" w:hint="eastAsia"/>
          <w:color w:val="000000" w:themeColor="text1"/>
        </w:rPr>
        <w:t>“</w:t>
      </w:r>
      <w:r>
        <w:rPr>
          <w:rFonts w:cs="Times New Roman"/>
          <w:color w:val="000000" w:themeColor="text1"/>
        </w:rPr>
        <w:t>释义</w:t>
      </w:r>
      <w:r>
        <w:rPr>
          <w:rFonts w:cs="Times New Roman" w:hint="eastAsia"/>
          <w:color w:val="000000" w:themeColor="text1"/>
        </w:rPr>
        <w:t>”</w:t>
      </w:r>
      <w:r>
        <w:rPr>
          <w:rFonts w:cs="Times New Roman"/>
          <w:color w:val="000000" w:themeColor="text1"/>
        </w:rPr>
        <w:t>所述词语或简称具有相同含义。</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一、公司本次以简易程序向特定对象发行股票相关事项已经获得公司</w:t>
      </w:r>
      <w:r>
        <w:rPr>
          <w:rFonts w:cs="Times New Roman"/>
          <w:color w:val="000000" w:themeColor="text1"/>
        </w:rPr>
        <w:t>2022</w:t>
      </w:r>
      <w:r>
        <w:rPr>
          <w:rFonts w:cs="Times New Roman"/>
          <w:color w:val="000000" w:themeColor="text1"/>
        </w:rPr>
        <w:t>年年度股东大会授权，尚需获得有权国资监管部门批复、深圳证券交易所审核通过并经中国证监会做出予以注册决定后方可实施。</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二、本次发行的发行对象为不超过</w:t>
      </w:r>
      <w:r>
        <w:rPr>
          <w:rFonts w:cs="Times New Roman"/>
          <w:color w:val="000000" w:themeColor="text1"/>
        </w:rPr>
        <w:t>35</w:t>
      </w:r>
      <w:r>
        <w:rPr>
          <w:rFonts w:cs="Times New Roman"/>
          <w:color w:val="000000" w:themeColor="text1"/>
        </w:rPr>
        <w:t>名（含</w:t>
      </w:r>
      <w:r>
        <w:rPr>
          <w:rFonts w:cs="Times New Roman"/>
          <w:color w:val="000000" w:themeColor="text1"/>
        </w:rPr>
        <w:t>35</w:t>
      </w:r>
      <w:r>
        <w:rPr>
          <w:rFonts w:cs="Times New Roman"/>
          <w:color w:val="000000" w:themeColor="text1"/>
        </w:rPr>
        <w:t>名）特定投资者，包括符合中国证监会规定的证券投资基金管理公司、证券公司、信托公司、财务公司、保险机构投资者、合格境外机构投资者，以及符合中国证监会规定的其他法人、自然人或其他合格的投资者。其中，证券投资基金管理公司、证券公司、合格境外机构投资者、人民币合格境外机构投资者以其管理的二只以上产品认购的，视为一个发行对象；信托公司作为发行对象的，只能以自有资金认购。</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最终发行对象由公司董事会根据</w:t>
      </w:r>
      <w:r>
        <w:rPr>
          <w:rFonts w:cs="Times New Roman"/>
          <w:color w:val="000000" w:themeColor="text1"/>
        </w:rPr>
        <w:t>2022</w:t>
      </w:r>
      <w:r>
        <w:rPr>
          <w:rFonts w:cs="Times New Roman"/>
          <w:color w:val="000000" w:themeColor="text1"/>
        </w:rPr>
        <w:t>年年度股东大会的授权，与保荐机构（主承销商）按照相关法律、法规和规范性文件的规定及发行竞价情况，遵照价格优先等原则协商确定。若国家法律、法规对本次发行的特定对象有新的规定，公司将按新的规定进行调整。</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本次发行的发行对象均以人民币现金方式并以同一价格认购公司本次发行的股票。</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三、发行股票的定价基准日为发行期首日，发行价格不低于定价基准日前</w:t>
      </w:r>
      <w:r>
        <w:rPr>
          <w:rFonts w:cs="Times New Roman"/>
          <w:color w:val="000000" w:themeColor="text1"/>
        </w:rPr>
        <w:t>20</w:t>
      </w:r>
      <w:r>
        <w:rPr>
          <w:rFonts w:cs="Times New Roman"/>
          <w:color w:val="000000" w:themeColor="text1"/>
        </w:rPr>
        <w:t>个交易日公司股票均价的</w:t>
      </w:r>
      <w:r>
        <w:rPr>
          <w:rFonts w:cs="Times New Roman"/>
          <w:color w:val="000000" w:themeColor="text1"/>
        </w:rPr>
        <w:t>80%</w:t>
      </w:r>
      <w:r>
        <w:rPr>
          <w:rFonts w:cs="Times New Roman"/>
          <w:color w:val="000000" w:themeColor="text1"/>
        </w:rPr>
        <w:t>与发行前公司最近</w:t>
      </w:r>
      <w:proofErr w:type="gramStart"/>
      <w:r>
        <w:rPr>
          <w:rFonts w:cs="Times New Roman"/>
          <w:color w:val="000000" w:themeColor="text1"/>
        </w:rPr>
        <w:t>一</w:t>
      </w:r>
      <w:proofErr w:type="gramEnd"/>
      <w:r>
        <w:rPr>
          <w:rFonts w:cs="Times New Roman"/>
          <w:color w:val="000000" w:themeColor="text1"/>
        </w:rPr>
        <w:t>期末经审计的归属于母公司普通股股东的每股净资产值的较高者。其中，定价基准日前</w:t>
      </w:r>
      <w:r>
        <w:rPr>
          <w:rFonts w:cs="Times New Roman"/>
          <w:color w:val="000000" w:themeColor="text1"/>
        </w:rPr>
        <w:t>20</w:t>
      </w:r>
      <w:r>
        <w:rPr>
          <w:rFonts w:cs="Times New Roman"/>
          <w:color w:val="000000" w:themeColor="text1"/>
        </w:rPr>
        <w:t>个交易日股票交易均价</w:t>
      </w:r>
      <w:r>
        <w:rPr>
          <w:rFonts w:cs="Times New Roman"/>
          <w:color w:val="000000" w:themeColor="text1"/>
        </w:rPr>
        <w:t>=</w:t>
      </w:r>
      <w:r>
        <w:rPr>
          <w:rFonts w:cs="Times New Roman"/>
          <w:color w:val="000000" w:themeColor="text1"/>
        </w:rPr>
        <w:t>定价基准日前</w:t>
      </w:r>
      <w:r>
        <w:rPr>
          <w:rFonts w:cs="Times New Roman"/>
          <w:color w:val="000000" w:themeColor="text1"/>
        </w:rPr>
        <w:t>20</w:t>
      </w:r>
      <w:r>
        <w:rPr>
          <w:rFonts w:cs="Times New Roman"/>
          <w:color w:val="000000" w:themeColor="text1"/>
        </w:rPr>
        <w:t>个交易日股票交易总额</w:t>
      </w:r>
      <w:r>
        <w:rPr>
          <w:rFonts w:cs="Times New Roman"/>
          <w:color w:val="000000" w:themeColor="text1"/>
        </w:rPr>
        <w:t>/</w:t>
      </w:r>
      <w:r>
        <w:rPr>
          <w:rFonts w:cs="Times New Roman"/>
          <w:color w:val="000000" w:themeColor="text1"/>
        </w:rPr>
        <w:t>定价基准日前</w:t>
      </w:r>
      <w:r>
        <w:rPr>
          <w:rFonts w:cs="Times New Roman"/>
          <w:color w:val="000000" w:themeColor="text1"/>
        </w:rPr>
        <w:t>20</w:t>
      </w:r>
      <w:r>
        <w:rPr>
          <w:rFonts w:cs="Times New Roman"/>
          <w:color w:val="000000" w:themeColor="text1"/>
        </w:rPr>
        <w:t>个交易日股票交易总量。若国家法律、法规或其他规范性文件对以简易程序向特定对象发行股票的定价原则等有最新规定或监管意见，公司将按最新规定或监管意见进行相应调整。</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lastRenderedPageBreak/>
        <w:t>若公司股票在定价基准日至发行日期间发生派息、送红股、资本公积金转增股本等除权、除息事宜的，本次发行价格将进行相应调整。</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本次以简易程序向特定对象发行股票的最终发行价格由董事会根据</w:t>
      </w:r>
      <w:r>
        <w:rPr>
          <w:rFonts w:cs="Times New Roman"/>
          <w:color w:val="000000" w:themeColor="text1"/>
        </w:rPr>
        <w:t>2022</w:t>
      </w:r>
      <w:r>
        <w:rPr>
          <w:rFonts w:cs="Times New Roman"/>
          <w:color w:val="000000" w:themeColor="text1"/>
        </w:rPr>
        <w:t>年年度股东大会授权和相关规定，根据竞价结果与保荐机构（主承销商）协商确定。</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四、本次发行的股票数量不超过</w:t>
      </w:r>
      <w:r>
        <w:rPr>
          <w:rFonts w:cs="Times New Roman"/>
          <w:color w:val="000000" w:themeColor="text1"/>
        </w:rPr>
        <w:t>50,505,050</w:t>
      </w:r>
      <w:r>
        <w:rPr>
          <w:rFonts w:cs="Times New Roman"/>
          <w:color w:val="000000" w:themeColor="text1"/>
        </w:rPr>
        <w:t>股（含本数），不超过本次发行前公司总股本的</w:t>
      </w:r>
      <w:r>
        <w:rPr>
          <w:rFonts w:cs="Times New Roman"/>
          <w:color w:val="000000" w:themeColor="text1"/>
        </w:rPr>
        <w:t>30%</w:t>
      </w:r>
      <w:r>
        <w:rPr>
          <w:rFonts w:cs="Times New Roman"/>
          <w:color w:val="000000" w:themeColor="text1"/>
        </w:rPr>
        <w:t>，最终发行股票数量由董事会根据</w:t>
      </w:r>
      <w:r>
        <w:rPr>
          <w:rFonts w:cs="Times New Roman"/>
          <w:color w:val="000000" w:themeColor="text1"/>
        </w:rPr>
        <w:t>2022</w:t>
      </w:r>
      <w:r>
        <w:rPr>
          <w:rFonts w:cs="Times New Roman"/>
          <w:color w:val="000000" w:themeColor="text1"/>
        </w:rPr>
        <w:t>年年度股东大会授权，与本次发行的保荐机构（主承销商）按照具体情况协商确定，对应募集资金金额不超过三亿元且不超过最近一年末净资产的百分之二十。</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若公司股票在定价基准日至发行日期间发生送红股、资本公积金转增股本等除权、除息事项和因其他原因导致公司股本总额发生变动，或者本次发行价格发生调整的，则本次发行股票数量上限将进行相应调整。最终发行股票数量以中国证监会同意注册的数量为准。</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五、本次以简易程序向特定对象发行的股票，自本次发行结束之日起</w:t>
      </w:r>
      <w:r>
        <w:rPr>
          <w:rFonts w:cs="Times New Roman"/>
          <w:color w:val="000000" w:themeColor="text1"/>
        </w:rPr>
        <w:t>6</w:t>
      </w:r>
      <w:r>
        <w:rPr>
          <w:rFonts w:cs="Times New Roman"/>
          <w:color w:val="000000" w:themeColor="text1"/>
        </w:rPr>
        <w:t>月内不得转让，法律法规另有规定的从其规定。</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本次发行对象所取得公司本次发行的股票因公司分配股票股利、资本公积转增股本等情形所衍生取得的股份亦应遵守上述股份锁定安排。限售期届满后发行对象减持认购的本次发行的股票须遵守中国证监会、深圳证券交易所等监管部门的相关规定。</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六、公司本次以简易程序向特定对象发行股票的募集资金总额不超过</w:t>
      </w:r>
      <w:r>
        <w:rPr>
          <w:rFonts w:cs="Times New Roman"/>
          <w:color w:val="000000" w:themeColor="text1"/>
        </w:rPr>
        <w:t>30,000</w:t>
      </w:r>
      <w:r>
        <w:rPr>
          <w:rFonts w:cs="Times New Roman"/>
          <w:color w:val="000000" w:themeColor="text1"/>
        </w:rPr>
        <w:t>万元（含本数），扣除发行费用后拟将募集资金全部用于以下项目：</w:t>
      </w:r>
    </w:p>
    <w:tbl>
      <w:tblPr>
        <w:tblStyle w:val="TableNormal"/>
        <w:tblW w:w="4965" w:type="pct"/>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647"/>
        <w:gridCol w:w="3745"/>
        <w:gridCol w:w="1821"/>
        <w:gridCol w:w="2005"/>
      </w:tblGrid>
      <w:tr w:rsidR="003C3FCD" w:rsidTr="00EA669B">
        <w:trPr>
          <w:trHeight w:val="413"/>
        </w:trPr>
        <w:tc>
          <w:tcPr>
            <w:tcW w:w="393" w:type="pct"/>
            <w:tcBorders>
              <w:tl2br w:val="nil"/>
              <w:tr2bl w:val="nil"/>
            </w:tcBorders>
            <w:vAlign w:val="center"/>
          </w:tcPr>
          <w:p w:rsidR="003C3FCD" w:rsidRDefault="00343C0E">
            <w:pPr>
              <w:widowControl/>
              <w:jc w:val="center"/>
              <w:rPr>
                <w:rFonts w:cs="Times New Roman"/>
                <w:b/>
                <w:color w:val="000000" w:themeColor="text1"/>
                <w:sz w:val="21"/>
                <w:szCs w:val="21"/>
                <w:lang w:eastAsia="en-US"/>
              </w:rPr>
            </w:pPr>
            <w:proofErr w:type="spellStart"/>
            <w:r>
              <w:rPr>
                <w:rFonts w:cs="Times New Roman"/>
                <w:b/>
                <w:color w:val="000000" w:themeColor="text1"/>
                <w:sz w:val="21"/>
                <w:szCs w:val="21"/>
                <w:lang w:eastAsia="en-US"/>
              </w:rPr>
              <w:t>序号</w:t>
            </w:r>
            <w:proofErr w:type="spellEnd"/>
          </w:p>
        </w:tc>
        <w:tc>
          <w:tcPr>
            <w:tcW w:w="2277" w:type="pct"/>
            <w:tcBorders>
              <w:tl2br w:val="nil"/>
              <w:tr2bl w:val="nil"/>
            </w:tcBorders>
            <w:vAlign w:val="center"/>
          </w:tcPr>
          <w:p w:rsidR="003C3FCD" w:rsidRDefault="00343C0E">
            <w:pPr>
              <w:widowControl/>
              <w:jc w:val="center"/>
              <w:rPr>
                <w:rFonts w:cs="Times New Roman"/>
                <w:b/>
                <w:color w:val="000000" w:themeColor="text1"/>
                <w:sz w:val="21"/>
                <w:szCs w:val="21"/>
                <w:lang w:eastAsia="en-US"/>
              </w:rPr>
            </w:pPr>
            <w:proofErr w:type="spellStart"/>
            <w:r>
              <w:rPr>
                <w:rFonts w:cs="Times New Roman"/>
                <w:b/>
                <w:color w:val="000000" w:themeColor="text1"/>
                <w:sz w:val="21"/>
                <w:szCs w:val="21"/>
                <w:lang w:eastAsia="en-US"/>
              </w:rPr>
              <w:t>项目名称</w:t>
            </w:r>
            <w:proofErr w:type="spellEnd"/>
          </w:p>
        </w:tc>
        <w:tc>
          <w:tcPr>
            <w:tcW w:w="1108" w:type="pct"/>
            <w:tcBorders>
              <w:tl2br w:val="nil"/>
              <w:tr2bl w:val="nil"/>
            </w:tcBorders>
            <w:vAlign w:val="center"/>
          </w:tcPr>
          <w:p w:rsidR="003C3FCD" w:rsidRDefault="00343C0E">
            <w:pPr>
              <w:widowControl/>
              <w:jc w:val="center"/>
              <w:rPr>
                <w:rFonts w:cs="Times New Roman"/>
                <w:b/>
                <w:color w:val="000000" w:themeColor="text1"/>
                <w:sz w:val="21"/>
                <w:szCs w:val="21"/>
                <w:lang w:eastAsia="en-US"/>
              </w:rPr>
            </w:pPr>
            <w:proofErr w:type="spellStart"/>
            <w:r>
              <w:rPr>
                <w:rFonts w:cs="Times New Roman"/>
                <w:b/>
                <w:color w:val="000000" w:themeColor="text1"/>
                <w:sz w:val="21"/>
                <w:szCs w:val="21"/>
                <w:lang w:eastAsia="en-US"/>
              </w:rPr>
              <w:t>拟投资总额</w:t>
            </w:r>
            <w:proofErr w:type="spellEnd"/>
          </w:p>
          <w:p w:rsidR="003C3FCD" w:rsidRDefault="00343C0E">
            <w:pPr>
              <w:widowControl/>
              <w:jc w:val="center"/>
              <w:rPr>
                <w:rFonts w:cs="Times New Roman"/>
                <w:b/>
                <w:color w:val="000000" w:themeColor="text1"/>
                <w:sz w:val="21"/>
                <w:szCs w:val="21"/>
                <w:lang w:eastAsia="en-US"/>
              </w:rPr>
            </w:pPr>
            <w:r>
              <w:rPr>
                <w:rFonts w:cs="Times New Roman"/>
                <w:b/>
                <w:color w:val="000000" w:themeColor="text1"/>
                <w:sz w:val="21"/>
                <w:szCs w:val="21"/>
              </w:rPr>
              <w:t>（万元）</w:t>
            </w:r>
          </w:p>
        </w:tc>
        <w:tc>
          <w:tcPr>
            <w:tcW w:w="1220" w:type="pct"/>
            <w:tcBorders>
              <w:tl2br w:val="nil"/>
              <w:tr2bl w:val="nil"/>
            </w:tcBorders>
            <w:vAlign w:val="center"/>
          </w:tcPr>
          <w:p w:rsidR="003C3FCD" w:rsidRDefault="00343C0E">
            <w:pPr>
              <w:widowControl/>
              <w:jc w:val="center"/>
              <w:rPr>
                <w:rFonts w:cs="Times New Roman"/>
                <w:b/>
                <w:color w:val="000000" w:themeColor="text1"/>
                <w:sz w:val="21"/>
                <w:szCs w:val="21"/>
              </w:rPr>
            </w:pPr>
            <w:r>
              <w:rPr>
                <w:rFonts w:cs="Times New Roman"/>
                <w:b/>
                <w:color w:val="000000" w:themeColor="text1"/>
                <w:sz w:val="21"/>
                <w:szCs w:val="21"/>
              </w:rPr>
              <w:t>拟投入募集资金金额（万元）</w:t>
            </w:r>
          </w:p>
        </w:tc>
      </w:tr>
      <w:tr w:rsidR="003C3FCD" w:rsidTr="00EA669B">
        <w:trPr>
          <w:trHeight w:val="353"/>
        </w:trPr>
        <w:tc>
          <w:tcPr>
            <w:tcW w:w="393" w:type="pct"/>
            <w:tcBorders>
              <w:tl2br w:val="nil"/>
              <w:tr2bl w:val="nil"/>
            </w:tcBorders>
            <w:vAlign w:val="center"/>
          </w:tcPr>
          <w:p w:rsidR="003C3FCD" w:rsidRDefault="00343C0E">
            <w:pPr>
              <w:widowControl/>
              <w:jc w:val="center"/>
              <w:rPr>
                <w:rFonts w:cs="Times New Roman"/>
                <w:color w:val="000000" w:themeColor="text1"/>
                <w:sz w:val="21"/>
                <w:szCs w:val="21"/>
                <w:lang w:eastAsia="en-US"/>
              </w:rPr>
            </w:pPr>
            <w:r>
              <w:rPr>
                <w:rFonts w:cs="Times New Roman"/>
                <w:color w:val="000000" w:themeColor="text1"/>
                <w:sz w:val="21"/>
                <w:szCs w:val="21"/>
                <w:lang w:eastAsia="en-US"/>
              </w:rPr>
              <w:t>1</w:t>
            </w:r>
          </w:p>
        </w:tc>
        <w:tc>
          <w:tcPr>
            <w:tcW w:w="2277" w:type="pct"/>
            <w:tcBorders>
              <w:tl2br w:val="nil"/>
              <w:tr2bl w:val="nil"/>
            </w:tcBorders>
            <w:vAlign w:val="center"/>
          </w:tcPr>
          <w:p w:rsidR="003C3FCD" w:rsidRDefault="00343C0E">
            <w:pPr>
              <w:widowControl/>
              <w:jc w:val="left"/>
              <w:rPr>
                <w:rFonts w:cs="Times New Roman"/>
                <w:color w:val="000000" w:themeColor="text1"/>
                <w:sz w:val="21"/>
                <w:szCs w:val="21"/>
              </w:rPr>
            </w:pPr>
            <w:r>
              <w:rPr>
                <w:rFonts w:cs="Times New Roman"/>
                <w:color w:val="000000" w:themeColor="text1"/>
                <w:sz w:val="21"/>
                <w:szCs w:val="21"/>
              </w:rPr>
              <w:t>宝坻新城第二水厂工程（一期）项目</w:t>
            </w:r>
          </w:p>
        </w:tc>
        <w:tc>
          <w:tcPr>
            <w:tcW w:w="1108" w:type="pct"/>
            <w:tcBorders>
              <w:tl2br w:val="nil"/>
              <w:tr2bl w:val="nil"/>
            </w:tcBorders>
            <w:vAlign w:val="center"/>
          </w:tcPr>
          <w:p w:rsidR="003C3FCD" w:rsidRDefault="00343C0E">
            <w:pPr>
              <w:widowControl/>
              <w:tabs>
                <w:tab w:val="left" w:pos="1680"/>
              </w:tabs>
              <w:ind w:rightChars="59" w:right="142"/>
              <w:jc w:val="right"/>
              <w:rPr>
                <w:rFonts w:cs="Times New Roman"/>
                <w:color w:val="000000" w:themeColor="text1"/>
                <w:sz w:val="21"/>
                <w:szCs w:val="21"/>
              </w:rPr>
            </w:pPr>
            <w:r>
              <w:rPr>
                <w:rFonts w:cs="Times New Roman"/>
                <w:color w:val="000000" w:themeColor="text1"/>
                <w:sz w:val="21"/>
                <w:szCs w:val="21"/>
              </w:rPr>
              <w:t>37,839.85</w:t>
            </w:r>
          </w:p>
        </w:tc>
        <w:tc>
          <w:tcPr>
            <w:tcW w:w="1220" w:type="pct"/>
            <w:tcBorders>
              <w:tl2br w:val="nil"/>
              <w:tr2bl w:val="nil"/>
            </w:tcBorders>
            <w:vAlign w:val="center"/>
          </w:tcPr>
          <w:p w:rsidR="003C3FCD" w:rsidRDefault="00343C0E">
            <w:pPr>
              <w:widowControl/>
              <w:ind w:rightChars="34" w:right="82"/>
              <w:jc w:val="right"/>
              <w:rPr>
                <w:rFonts w:cs="Times New Roman"/>
                <w:color w:val="000000" w:themeColor="text1"/>
                <w:sz w:val="21"/>
                <w:szCs w:val="21"/>
                <w:lang w:eastAsia="en-US"/>
              </w:rPr>
            </w:pPr>
            <w:r>
              <w:rPr>
                <w:rFonts w:cs="Times New Roman"/>
                <w:color w:val="000000" w:themeColor="text1"/>
                <w:sz w:val="21"/>
                <w:szCs w:val="21"/>
              </w:rPr>
              <w:t>21</w:t>
            </w:r>
            <w:r>
              <w:rPr>
                <w:rFonts w:cs="Times New Roman"/>
                <w:color w:val="000000" w:themeColor="text1"/>
                <w:sz w:val="21"/>
                <w:szCs w:val="21"/>
                <w:lang w:eastAsia="en-US"/>
              </w:rPr>
              <w:t>,000.00</w:t>
            </w:r>
          </w:p>
        </w:tc>
      </w:tr>
      <w:tr w:rsidR="003C3FCD" w:rsidTr="00EA669B">
        <w:trPr>
          <w:trHeight w:val="353"/>
        </w:trPr>
        <w:tc>
          <w:tcPr>
            <w:tcW w:w="393" w:type="pct"/>
            <w:tcBorders>
              <w:tl2br w:val="nil"/>
              <w:tr2bl w:val="nil"/>
            </w:tcBorders>
            <w:vAlign w:val="center"/>
          </w:tcPr>
          <w:p w:rsidR="003C3FCD" w:rsidRDefault="00343C0E">
            <w:pPr>
              <w:widowControl/>
              <w:jc w:val="center"/>
              <w:rPr>
                <w:rFonts w:cs="Times New Roman"/>
                <w:color w:val="000000" w:themeColor="text1"/>
                <w:sz w:val="21"/>
                <w:szCs w:val="21"/>
              </w:rPr>
            </w:pPr>
            <w:r>
              <w:rPr>
                <w:rFonts w:cs="Times New Roman"/>
                <w:color w:val="000000" w:themeColor="text1"/>
                <w:sz w:val="21"/>
                <w:szCs w:val="21"/>
              </w:rPr>
              <w:t>2</w:t>
            </w:r>
          </w:p>
        </w:tc>
        <w:tc>
          <w:tcPr>
            <w:tcW w:w="2277" w:type="pct"/>
            <w:tcBorders>
              <w:tl2br w:val="nil"/>
              <w:tr2bl w:val="nil"/>
            </w:tcBorders>
            <w:vAlign w:val="center"/>
          </w:tcPr>
          <w:p w:rsidR="003C3FCD" w:rsidRDefault="00343C0E">
            <w:pPr>
              <w:widowControl/>
              <w:jc w:val="left"/>
              <w:rPr>
                <w:rFonts w:cs="Times New Roman"/>
                <w:color w:val="000000" w:themeColor="text1"/>
                <w:sz w:val="21"/>
                <w:szCs w:val="21"/>
              </w:rPr>
            </w:pPr>
            <w:r>
              <w:rPr>
                <w:rFonts w:cs="Times New Roman"/>
                <w:color w:val="000000" w:themeColor="text1"/>
                <w:sz w:val="21"/>
                <w:szCs w:val="21"/>
              </w:rPr>
              <w:t>补充流动资金</w:t>
            </w:r>
          </w:p>
        </w:tc>
        <w:tc>
          <w:tcPr>
            <w:tcW w:w="1108" w:type="pct"/>
            <w:tcBorders>
              <w:tl2br w:val="nil"/>
              <w:tr2bl w:val="nil"/>
            </w:tcBorders>
            <w:vAlign w:val="bottom"/>
          </w:tcPr>
          <w:p w:rsidR="003C3FCD" w:rsidRDefault="00343C0E">
            <w:pPr>
              <w:widowControl/>
              <w:tabs>
                <w:tab w:val="left" w:pos="1680"/>
              </w:tabs>
              <w:ind w:rightChars="59" w:right="142"/>
              <w:jc w:val="right"/>
              <w:rPr>
                <w:rFonts w:cs="Times New Roman"/>
                <w:color w:val="000000" w:themeColor="text1"/>
                <w:sz w:val="21"/>
                <w:szCs w:val="21"/>
              </w:rPr>
            </w:pPr>
            <w:r>
              <w:rPr>
                <w:rFonts w:cs="Times New Roman"/>
                <w:color w:val="000000" w:themeColor="text1"/>
                <w:sz w:val="21"/>
                <w:szCs w:val="21"/>
              </w:rPr>
              <w:t>9,000.00</w:t>
            </w:r>
          </w:p>
        </w:tc>
        <w:tc>
          <w:tcPr>
            <w:tcW w:w="1220" w:type="pct"/>
            <w:tcBorders>
              <w:tl2br w:val="nil"/>
              <w:tr2bl w:val="nil"/>
            </w:tcBorders>
            <w:vAlign w:val="center"/>
          </w:tcPr>
          <w:p w:rsidR="003C3FCD" w:rsidRDefault="00343C0E">
            <w:pPr>
              <w:widowControl/>
              <w:ind w:rightChars="34" w:right="82"/>
              <w:jc w:val="right"/>
              <w:rPr>
                <w:rFonts w:cs="Times New Roman"/>
                <w:color w:val="000000" w:themeColor="text1"/>
                <w:sz w:val="21"/>
                <w:szCs w:val="21"/>
              </w:rPr>
            </w:pPr>
            <w:r>
              <w:rPr>
                <w:rFonts w:cs="Times New Roman"/>
                <w:color w:val="000000" w:themeColor="text1"/>
                <w:sz w:val="21"/>
                <w:szCs w:val="21"/>
              </w:rPr>
              <w:t>9,000.00</w:t>
            </w:r>
          </w:p>
        </w:tc>
      </w:tr>
      <w:tr w:rsidR="003C3FCD" w:rsidTr="00EA669B">
        <w:trPr>
          <w:trHeight w:val="411"/>
        </w:trPr>
        <w:tc>
          <w:tcPr>
            <w:tcW w:w="2671" w:type="pct"/>
            <w:gridSpan w:val="2"/>
            <w:tcBorders>
              <w:tl2br w:val="nil"/>
              <w:tr2bl w:val="nil"/>
            </w:tcBorders>
            <w:vAlign w:val="center"/>
          </w:tcPr>
          <w:p w:rsidR="003C3FCD" w:rsidRDefault="00343C0E">
            <w:pPr>
              <w:widowControl/>
              <w:jc w:val="center"/>
              <w:rPr>
                <w:rFonts w:cs="Times New Roman"/>
                <w:b/>
                <w:bCs/>
                <w:color w:val="000000" w:themeColor="text1"/>
                <w:sz w:val="21"/>
                <w:szCs w:val="21"/>
                <w:lang w:eastAsia="en-US"/>
              </w:rPr>
            </w:pPr>
            <w:proofErr w:type="spellStart"/>
            <w:r>
              <w:rPr>
                <w:rFonts w:cs="Times New Roman"/>
                <w:b/>
                <w:bCs/>
                <w:color w:val="000000" w:themeColor="text1"/>
                <w:sz w:val="21"/>
                <w:szCs w:val="21"/>
                <w:lang w:eastAsia="en-US"/>
              </w:rPr>
              <w:t>合计</w:t>
            </w:r>
            <w:proofErr w:type="spellEnd"/>
          </w:p>
        </w:tc>
        <w:tc>
          <w:tcPr>
            <w:tcW w:w="1108" w:type="pct"/>
            <w:tcBorders>
              <w:tl2br w:val="nil"/>
              <w:tr2bl w:val="nil"/>
            </w:tcBorders>
            <w:vAlign w:val="center"/>
          </w:tcPr>
          <w:p w:rsidR="003C3FCD" w:rsidRDefault="00343C0E">
            <w:pPr>
              <w:widowControl/>
              <w:tabs>
                <w:tab w:val="left" w:pos="1680"/>
              </w:tabs>
              <w:ind w:rightChars="59" w:right="142"/>
              <w:jc w:val="right"/>
              <w:rPr>
                <w:rFonts w:cs="Times New Roman"/>
                <w:b/>
                <w:bCs/>
                <w:color w:val="000000" w:themeColor="text1"/>
                <w:sz w:val="21"/>
                <w:szCs w:val="21"/>
                <w:lang w:eastAsia="en-US"/>
              </w:rPr>
            </w:pPr>
            <w:r>
              <w:rPr>
                <w:rFonts w:cs="Times New Roman"/>
                <w:b/>
                <w:bCs/>
                <w:color w:val="000000" w:themeColor="text1"/>
                <w:sz w:val="21"/>
                <w:szCs w:val="21"/>
                <w:lang w:eastAsia="en-US"/>
              </w:rPr>
              <w:t>46,839.85</w:t>
            </w:r>
          </w:p>
        </w:tc>
        <w:tc>
          <w:tcPr>
            <w:tcW w:w="1220" w:type="pct"/>
            <w:tcBorders>
              <w:tl2br w:val="nil"/>
              <w:tr2bl w:val="nil"/>
            </w:tcBorders>
            <w:vAlign w:val="center"/>
          </w:tcPr>
          <w:p w:rsidR="003C3FCD" w:rsidRDefault="00343C0E">
            <w:pPr>
              <w:widowControl/>
              <w:ind w:rightChars="34" w:right="82"/>
              <w:jc w:val="right"/>
              <w:rPr>
                <w:rFonts w:cs="Times New Roman"/>
                <w:b/>
                <w:bCs/>
                <w:color w:val="000000" w:themeColor="text1"/>
                <w:sz w:val="21"/>
                <w:szCs w:val="21"/>
                <w:lang w:eastAsia="en-US"/>
              </w:rPr>
            </w:pPr>
            <w:r>
              <w:rPr>
                <w:rFonts w:cs="Times New Roman"/>
                <w:b/>
                <w:bCs/>
                <w:color w:val="000000" w:themeColor="text1"/>
                <w:sz w:val="21"/>
                <w:szCs w:val="21"/>
                <w:lang w:eastAsia="en-US"/>
              </w:rPr>
              <w:t>30,000.00</w:t>
            </w:r>
          </w:p>
        </w:tc>
      </w:tr>
    </w:tbl>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在本次发行股票募集资金到位前，公司将根据经营状况和发展规划对上述拟投资项目用自筹资金进行先期投入，待募集资金到位后将以募集资金置换上述自</w:t>
      </w:r>
      <w:r>
        <w:rPr>
          <w:rFonts w:cs="Times New Roman"/>
          <w:color w:val="000000" w:themeColor="text1"/>
        </w:rPr>
        <w:lastRenderedPageBreak/>
        <w:t>筹资金。</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本次发行股票后，若本次发行实际募集资金量小于上述投资项目的资金需求，公司将按照项目的轻重缓急等情况，调整并最终决定募集资金投入的优先顺序及各项目的具体投资金额等使用安排，募集资金不足部分由公司自筹解决。</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七、关于公司利润分配政策、最近三年现金分红情况及公司未来股东回报规划等具体内容请详见本预案</w:t>
      </w:r>
      <w:r>
        <w:rPr>
          <w:rFonts w:cs="Times New Roman" w:hint="eastAsia"/>
          <w:color w:val="000000" w:themeColor="text1"/>
        </w:rPr>
        <w:t>“</w:t>
      </w:r>
      <w:r>
        <w:rPr>
          <w:rFonts w:cs="Times New Roman"/>
          <w:color w:val="000000" w:themeColor="text1"/>
        </w:rPr>
        <w:t>第四节</w:t>
      </w:r>
      <w:r>
        <w:rPr>
          <w:rFonts w:cs="Times New Roman"/>
          <w:color w:val="000000" w:themeColor="text1"/>
        </w:rPr>
        <w:t xml:space="preserve"> </w:t>
      </w:r>
      <w:r>
        <w:rPr>
          <w:rFonts w:cs="Times New Roman"/>
          <w:color w:val="000000" w:themeColor="text1"/>
        </w:rPr>
        <w:t>公司的利润分配政策及执行情况</w:t>
      </w:r>
      <w:r>
        <w:rPr>
          <w:rFonts w:cs="Times New Roman" w:hint="eastAsia"/>
          <w:color w:val="000000" w:themeColor="text1"/>
        </w:rPr>
        <w:t>”</w:t>
      </w:r>
      <w:r>
        <w:rPr>
          <w:rFonts w:cs="Times New Roman"/>
          <w:color w:val="000000" w:themeColor="text1"/>
        </w:rPr>
        <w:t>。</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八、在本次发行完成后，公司发行前滚存的未分配利润将由公司新老股东按本次发行后的股份比例共享。</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九、本次发行股票不会导致公司控制权发生变化，也不会导致公司股权分布不具备上市条件。</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十、关于本次发行股票摊薄即期回报分析及填补回报措施的具体内容请详见本预案</w:t>
      </w:r>
      <w:r>
        <w:rPr>
          <w:rFonts w:cs="Times New Roman" w:hint="eastAsia"/>
          <w:color w:val="000000" w:themeColor="text1"/>
        </w:rPr>
        <w:t>“</w:t>
      </w:r>
      <w:r>
        <w:rPr>
          <w:rFonts w:cs="Times New Roman"/>
          <w:color w:val="000000" w:themeColor="text1"/>
        </w:rPr>
        <w:t>第五节</w:t>
      </w:r>
      <w:r>
        <w:rPr>
          <w:rFonts w:cs="Times New Roman"/>
          <w:color w:val="000000" w:themeColor="text1"/>
        </w:rPr>
        <w:t xml:space="preserve"> </w:t>
      </w:r>
      <w:r>
        <w:rPr>
          <w:rFonts w:cs="Times New Roman"/>
          <w:color w:val="000000" w:themeColor="text1"/>
        </w:rPr>
        <w:t>本次发行股票摊薄即期回报分析</w:t>
      </w:r>
      <w:r>
        <w:rPr>
          <w:rFonts w:cs="Times New Roman" w:hint="eastAsia"/>
          <w:color w:val="000000" w:themeColor="text1"/>
        </w:rPr>
        <w:t>”</w:t>
      </w:r>
      <w:r>
        <w:rPr>
          <w:rFonts w:cs="Times New Roman"/>
          <w:color w:val="000000" w:themeColor="text1"/>
        </w:rPr>
        <w:t>。本预案中，公司在测算本次发行对即期回报的摊</w:t>
      </w:r>
      <w:proofErr w:type="gramStart"/>
      <w:r>
        <w:rPr>
          <w:rFonts w:cs="Times New Roman"/>
          <w:color w:val="000000" w:themeColor="text1"/>
        </w:rPr>
        <w:t>薄影响</w:t>
      </w:r>
      <w:proofErr w:type="gramEnd"/>
      <w:r>
        <w:rPr>
          <w:rFonts w:cs="Times New Roman"/>
          <w:color w:val="000000" w:themeColor="text1"/>
        </w:rPr>
        <w:t>过程中，对</w:t>
      </w:r>
      <w:proofErr w:type="gramStart"/>
      <w:r>
        <w:rPr>
          <w:rFonts w:cs="Times New Roman"/>
          <w:color w:val="000000" w:themeColor="text1"/>
        </w:rPr>
        <w:t>2024</w:t>
      </w:r>
      <w:r>
        <w:rPr>
          <w:rFonts w:cs="Times New Roman"/>
          <w:color w:val="000000" w:themeColor="text1"/>
        </w:rPr>
        <w:t>年扣非前后</w:t>
      </w:r>
      <w:proofErr w:type="gramEnd"/>
      <w:r>
        <w:rPr>
          <w:rFonts w:cs="Times New Roman"/>
          <w:color w:val="000000" w:themeColor="text1"/>
        </w:rPr>
        <w:t>归属于上市公司普通股股东净利润的假设分析并非公司的盈利预测，为应对即期回报被摊</w:t>
      </w:r>
      <w:proofErr w:type="gramStart"/>
      <w:r>
        <w:rPr>
          <w:rFonts w:cs="Times New Roman"/>
          <w:color w:val="000000" w:themeColor="text1"/>
        </w:rPr>
        <w:t>薄风险</w:t>
      </w:r>
      <w:proofErr w:type="gramEnd"/>
      <w:r>
        <w:rPr>
          <w:rFonts w:cs="Times New Roman"/>
          <w:color w:val="000000" w:themeColor="text1"/>
        </w:rPr>
        <w:t>而制定的填补回报具体措施不等于对公司未来利润做出保证，投资者不应据此进行投资决策，投资者据此进行投资决策造成损失的，公司不承担赔偿责任。请投资者注意投资风险。</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十一、董事会特别提醒投资者仔细阅读本预案</w:t>
      </w:r>
      <w:r>
        <w:rPr>
          <w:rFonts w:cs="Times New Roman" w:hint="eastAsia"/>
          <w:color w:val="000000" w:themeColor="text1"/>
        </w:rPr>
        <w:t>“</w:t>
      </w:r>
      <w:r>
        <w:rPr>
          <w:rFonts w:cs="Times New Roman"/>
          <w:color w:val="000000" w:themeColor="text1"/>
        </w:rPr>
        <w:t>第三节</w:t>
      </w:r>
      <w:r>
        <w:rPr>
          <w:rFonts w:cs="Times New Roman"/>
          <w:color w:val="000000" w:themeColor="text1"/>
        </w:rPr>
        <w:t xml:space="preserve"> </w:t>
      </w:r>
      <w:r>
        <w:rPr>
          <w:rFonts w:cs="Times New Roman"/>
          <w:color w:val="000000" w:themeColor="text1"/>
        </w:rPr>
        <w:t>董事会关于本次发行对公司影响的讨论与分析</w:t>
      </w:r>
      <w:r>
        <w:rPr>
          <w:rFonts w:cs="Times New Roman" w:hint="eastAsia"/>
          <w:color w:val="000000" w:themeColor="text1"/>
        </w:rPr>
        <w:t>”</w:t>
      </w:r>
      <w:r>
        <w:rPr>
          <w:rFonts w:cs="Times New Roman"/>
          <w:color w:val="000000" w:themeColor="text1"/>
        </w:rPr>
        <w:t>之</w:t>
      </w:r>
      <w:r>
        <w:rPr>
          <w:rFonts w:cs="Times New Roman" w:hint="eastAsia"/>
          <w:color w:val="000000" w:themeColor="text1"/>
        </w:rPr>
        <w:t>“</w:t>
      </w:r>
      <w:r>
        <w:rPr>
          <w:rFonts w:cs="Times New Roman"/>
          <w:color w:val="000000" w:themeColor="text1"/>
        </w:rPr>
        <w:t>六、本次股票发行相关的风险说明</w:t>
      </w:r>
      <w:r>
        <w:rPr>
          <w:rFonts w:cs="Times New Roman" w:hint="eastAsia"/>
          <w:color w:val="000000" w:themeColor="text1"/>
        </w:rPr>
        <w:t>”</w:t>
      </w:r>
      <w:r>
        <w:rPr>
          <w:rFonts w:cs="Times New Roman"/>
          <w:color w:val="000000" w:themeColor="text1"/>
        </w:rPr>
        <w:t>有关内容，注意投资风险。</w:t>
      </w:r>
    </w:p>
    <w:p w:rsidR="003C3FCD" w:rsidRDefault="00343C0E">
      <w:pPr>
        <w:widowControl/>
        <w:spacing w:before="50" w:after="50"/>
        <w:ind w:firstLineChars="200" w:firstLine="480"/>
        <w:jc w:val="left"/>
        <w:rPr>
          <w:rFonts w:cs="Times New Roman"/>
          <w:color w:val="000000" w:themeColor="text1"/>
        </w:rPr>
      </w:pPr>
      <w:r>
        <w:rPr>
          <w:rFonts w:cs="Times New Roman"/>
          <w:color w:val="000000" w:themeColor="text1"/>
        </w:rPr>
        <w:br w:type="page"/>
      </w:r>
    </w:p>
    <w:p w:rsidR="003C3FCD" w:rsidRDefault="00343C0E">
      <w:pPr>
        <w:pStyle w:val="1"/>
        <w:jc w:val="center"/>
        <w:rPr>
          <w:rFonts w:cs="Times New Roman"/>
          <w:color w:val="000000" w:themeColor="text1"/>
          <w:sz w:val="32"/>
        </w:rPr>
      </w:pPr>
      <w:bookmarkStart w:id="2" w:name="_Toc146198205"/>
      <w:r>
        <w:rPr>
          <w:rFonts w:cs="Times New Roman"/>
          <w:color w:val="000000" w:themeColor="text1"/>
          <w:sz w:val="32"/>
        </w:rPr>
        <w:lastRenderedPageBreak/>
        <w:t>目</w:t>
      </w:r>
      <w:r>
        <w:rPr>
          <w:rFonts w:cs="Times New Roman"/>
          <w:color w:val="000000" w:themeColor="text1"/>
          <w:sz w:val="32"/>
        </w:rPr>
        <w:t xml:space="preserve">   </w:t>
      </w:r>
      <w:r>
        <w:rPr>
          <w:rFonts w:cs="Times New Roman"/>
          <w:color w:val="000000" w:themeColor="text1"/>
          <w:sz w:val="32"/>
        </w:rPr>
        <w:t>录</w:t>
      </w:r>
      <w:bookmarkEnd w:id="2"/>
    </w:p>
    <w:sdt>
      <w:sdtPr>
        <w:rPr>
          <w:rFonts w:ascii="Times New Roman" w:eastAsia="宋体" w:hAnsi="Times New Roman" w:cs="Times New Roman"/>
          <w:color w:val="000000" w:themeColor="text1"/>
          <w:kern w:val="2"/>
          <w:sz w:val="24"/>
          <w:szCs w:val="22"/>
          <w:lang w:val="zh-CN"/>
        </w:rPr>
        <w:id w:val="1843355557"/>
        <w:docPartObj>
          <w:docPartGallery w:val="Table of Contents"/>
          <w:docPartUnique/>
        </w:docPartObj>
      </w:sdtPr>
      <w:sdtEndPr>
        <w:rPr>
          <w:b/>
          <w:bCs/>
        </w:rPr>
      </w:sdtEndPr>
      <w:sdtContent>
        <w:p w:rsidR="003C3FCD" w:rsidRDefault="003C3FCD">
          <w:pPr>
            <w:pStyle w:val="TOC1"/>
            <w:rPr>
              <w:rFonts w:ascii="Times New Roman" w:hAnsi="Times New Roman" w:cs="Times New Roman"/>
              <w:color w:val="000000" w:themeColor="text1"/>
            </w:rPr>
          </w:pPr>
        </w:p>
        <w:p w:rsidR="003C3FCD" w:rsidRDefault="00343C0E">
          <w:pPr>
            <w:pStyle w:val="10"/>
            <w:spacing w:line="360" w:lineRule="auto"/>
            <w:rPr>
              <w:rFonts w:cs="Times New Roman"/>
              <w:color w:val="000000" w:themeColor="text1"/>
              <w:szCs w:val="24"/>
            </w:rPr>
          </w:pPr>
          <w:r>
            <w:rPr>
              <w:rFonts w:cs="Times New Roman"/>
              <w:bCs/>
              <w:color w:val="000000" w:themeColor="text1"/>
              <w:szCs w:val="24"/>
              <w:lang w:val="zh-CN"/>
            </w:rPr>
            <w:fldChar w:fldCharType="begin"/>
          </w:r>
          <w:r>
            <w:rPr>
              <w:rFonts w:cs="Times New Roman"/>
              <w:bCs/>
              <w:color w:val="000000" w:themeColor="text1"/>
              <w:szCs w:val="24"/>
              <w:lang w:val="zh-CN"/>
            </w:rPr>
            <w:instrText xml:space="preserve"> TOC \o "1-2" \h \z \u </w:instrText>
          </w:r>
          <w:r>
            <w:rPr>
              <w:rFonts w:cs="Times New Roman"/>
              <w:bCs/>
              <w:color w:val="000000" w:themeColor="text1"/>
              <w:szCs w:val="24"/>
              <w:lang w:val="zh-CN"/>
            </w:rPr>
            <w:fldChar w:fldCharType="separate"/>
          </w:r>
          <w:hyperlink w:anchor="_Toc146198203" w:history="1">
            <w:r>
              <w:rPr>
                <w:rStyle w:val="ac"/>
                <w:rFonts w:cs="Times New Roman"/>
                <w:color w:val="000000" w:themeColor="text1"/>
                <w:szCs w:val="24"/>
              </w:rPr>
              <w:t>公司声明</w:t>
            </w:r>
            <w:r>
              <w:rPr>
                <w:rFonts w:cs="Times New Roman"/>
                <w:color w:val="000000" w:themeColor="text1"/>
                <w:szCs w:val="24"/>
              </w:rPr>
              <w:tab/>
            </w:r>
            <w:r>
              <w:rPr>
                <w:rFonts w:cs="Times New Roman"/>
                <w:color w:val="000000" w:themeColor="text1"/>
                <w:szCs w:val="24"/>
              </w:rPr>
              <w:fldChar w:fldCharType="begin"/>
            </w:r>
            <w:r>
              <w:rPr>
                <w:rFonts w:cs="Times New Roman"/>
                <w:color w:val="000000" w:themeColor="text1"/>
                <w:szCs w:val="24"/>
              </w:rPr>
              <w:instrText xml:space="preserve"> PAGEREF _Toc146198203 \h </w:instrText>
            </w:r>
            <w:r>
              <w:rPr>
                <w:rFonts w:cs="Times New Roman"/>
                <w:color w:val="000000" w:themeColor="text1"/>
                <w:szCs w:val="24"/>
              </w:rPr>
            </w:r>
            <w:r>
              <w:rPr>
                <w:rFonts w:cs="Times New Roman"/>
                <w:color w:val="000000" w:themeColor="text1"/>
                <w:szCs w:val="24"/>
              </w:rPr>
              <w:fldChar w:fldCharType="separate"/>
            </w:r>
            <w:r>
              <w:rPr>
                <w:rFonts w:cs="Times New Roman"/>
                <w:color w:val="000000" w:themeColor="text1"/>
                <w:szCs w:val="24"/>
              </w:rPr>
              <w:t>1</w:t>
            </w:r>
            <w:r>
              <w:rPr>
                <w:rFonts w:cs="Times New Roman"/>
                <w:color w:val="000000" w:themeColor="text1"/>
                <w:szCs w:val="24"/>
              </w:rPr>
              <w:fldChar w:fldCharType="end"/>
            </w:r>
          </w:hyperlink>
        </w:p>
        <w:p w:rsidR="003C3FCD" w:rsidRDefault="0054411B">
          <w:pPr>
            <w:pStyle w:val="10"/>
            <w:spacing w:line="360" w:lineRule="auto"/>
            <w:rPr>
              <w:rFonts w:cs="Times New Roman"/>
              <w:color w:val="000000" w:themeColor="text1"/>
              <w:szCs w:val="24"/>
            </w:rPr>
          </w:pPr>
          <w:hyperlink w:anchor="_Toc146198204" w:history="1">
            <w:r w:rsidR="00343C0E">
              <w:rPr>
                <w:rStyle w:val="ac"/>
                <w:rFonts w:cs="Times New Roman"/>
                <w:color w:val="000000" w:themeColor="text1"/>
                <w:szCs w:val="24"/>
              </w:rPr>
              <w:t>特别提示</w:t>
            </w:r>
            <w:r w:rsidR="00343C0E">
              <w:rPr>
                <w:rFonts w:cs="Times New Roman"/>
                <w:color w:val="000000" w:themeColor="text1"/>
                <w:szCs w:val="24"/>
              </w:rPr>
              <w:tab/>
            </w:r>
            <w:r w:rsidR="00343C0E">
              <w:rPr>
                <w:rFonts w:cs="Times New Roman"/>
                <w:color w:val="000000" w:themeColor="text1"/>
                <w:szCs w:val="24"/>
              </w:rPr>
              <w:fldChar w:fldCharType="begin"/>
            </w:r>
            <w:r w:rsidR="00343C0E">
              <w:rPr>
                <w:rFonts w:cs="Times New Roman"/>
                <w:color w:val="000000" w:themeColor="text1"/>
                <w:szCs w:val="24"/>
              </w:rPr>
              <w:instrText xml:space="preserve"> PAGEREF _Toc146198204 \h </w:instrText>
            </w:r>
            <w:r w:rsidR="00343C0E">
              <w:rPr>
                <w:rFonts w:cs="Times New Roman"/>
                <w:color w:val="000000" w:themeColor="text1"/>
                <w:szCs w:val="24"/>
              </w:rPr>
            </w:r>
            <w:r w:rsidR="00343C0E">
              <w:rPr>
                <w:rFonts w:cs="Times New Roman"/>
                <w:color w:val="000000" w:themeColor="text1"/>
                <w:szCs w:val="24"/>
              </w:rPr>
              <w:fldChar w:fldCharType="separate"/>
            </w:r>
            <w:r w:rsidR="00343C0E">
              <w:rPr>
                <w:rFonts w:cs="Times New Roman"/>
                <w:color w:val="000000" w:themeColor="text1"/>
                <w:szCs w:val="24"/>
              </w:rPr>
              <w:t>2</w:t>
            </w:r>
            <w:r w:rsidR="00343C0E">
              <w:rPr>
                <w:rFonts w:cs="Times New Roman"/>
                <w:color w:val="000000" w:themeColor="text1"/>
                <w:szCs w:val="24"/>
              </w:rPr>
              <w:fldChar w:fldCharType="end"/>
            </w:r>
          </w:hyperlink>
        </w:p>
        <w:p w:rsidR="003C3FCD" w:rsidRDefault="0054411B">
          <w:pPr>
            <w:pStyle w:val="10"/>
            <w:spacing w:line="360" w:lineRule="auto"/>
            <w:rPr>
              <w:rFonts w:cs="Times New Roman"/>
              <w:color w:val="000000" w:themeColor="text1"/>
              <w:szCs w:val="24"/>
            </w:rPr>
          </w:pPr>
          <w:hyperlink w:anchor="_Toc146198206" w:history="1">
            <w:r w:rsidR="00343C0E">
              <w:rPr>
                <w:rStyle w:val="ac"/>
                <w:rFonts w:cs="Times New Roman"/>
                <w:color w:val="000000" w:themeColor="text1"/>
                <w:szCs w:val="24"/>
              </w:rPr>
              <w:t>释</w:t>
            </w:r>
            <w:r w:rsidR="00343C0E">
              <w:rPr>
                <w:rStyle w:val="ac"/>
                <w:rFonts w:cs="Times New Roman"/>
                <w:color w:val="000000" w:themeColor="text1"/>
                <w:szCs w:val="24"/>
              </w:rPr>
              <w:t xml:space="preserve">   </w:t>
            </w:r>
            <w:r w:rsidR="00343C0E">
              <w:rPr>
                <w:rStyle w:val="ac"/>
                <w:rFonts w:cs="Times New Roman"/>
                <w:color w:val="000000" w:themeColor="text1"/>
                <w:szCs w:val="24"/>
              </w:rPr>
              <w:t>义</w:t>
            </w:r>
            <w:r w:rsidR="00343C0E">
              <w:rPr>
                <w:rFonts w:cs="Times New Roman"/>
                <w:color w:val="000000" w:themeColor="text1"/>
                <w:szCs w:val="24"/>
              </w:rPr>
              <w:tab/>
            </w:r>
            <w:r w:rsidR="00343C0E">
              <w:rPr>
                <w:rFonts w:cs="Times New Roman"/>
                <w:color w:val="000000" w:themeColor="text1"/>
                <w:szCs w:val="24"/>
              </w:rPr>
              <w:fldChar w:fldCharType="begin"/>
            </w:r>
            <w:r w:rsidR="00343C0E">
              <w:rPr>
                <w:rFonts w:cs="Times New Roman"/>
                <w:color w:val="000000" w:themeColor="text1"/>
                <w:szCs w:val="24"/>
              </w:rPr>
              <w:instrText xml:space="preserve"> PAGEREF _Toc146198206 \h </w:instrText>
            </w:r>
            <w:r w:rsidR="00343C0E">
              <w:rPr>
                <w:rFonts w:cs="Times New Roman"/>
                <w:color w:val="000000" w:themeColor="text1"/>
                <w:szCs w:val="24"/>
              </w:rPr>
            </w:r>
            <w:r w:rsidR="00343C0E">
              <w:rPr>
                <w:rFonts w:cs="Times New Roman"/>
                <w:color w:val="000000" w:themeColor="text1"/>
                <w:szCs w:val="24"/>
              </w:rPr>
              <w:fldChar w:fldCharType="separate"/>
            </w:r>
            <w:r w:rsidR="00343C0E">
              <w:rPr>
                <w:rFonts w:cs="Times New Roman"/>
                <w:color w:val="000000" w:themeColor="text1"/>
                <w:szCs w:val="24"/>
              </w:rPr>
              <w:t>7</w:t>
            </w:r>
            <w:r w:rsidR="00343C0E">
              <w:rPr>
                <w:rFonts w:cs="Times New Roman"/>
                <w:color w:val="000000" w:themeColor="text1"/>
                <w:szCs w:val="24"/>
              </w:rPr>
              <w:fldChar w:fldCharType="end"/>
            </w:r>
          </w:hyperlink>
        </w:p>
        <w:p w:rsidR="003C3FCD" w:rsidRDefault="0054411B">
          <w:pPr>
            <w:pStyle w:val="10"/>
            <w:spacing w:line="360" w:lineRule="auto"/>
            <w:rPr>
              <w:rFonts w:cs="Times New Roman"/>
              <w:color w:val="000000" w:themeColor="text1"/>
              <w:szCs w:val="24"/>
            </w:rPr>
          </w:pPr>
          <w:hyperlink w:anchor="_Toc146198207" w:history="1">
            <w:r w:rsidR="00343C0E">
              <w:rPr>
                <w:rStyle w:val="ac"/>
                <w:rFonts w:cs="Times New Roman"/>
                <w:color w:val="000000" w:themeColor="text1"/>
                <w:szCs w:val="24"/>
              </w:rPr>
              <w:t>第一节</w:t>
            </w:r>
            <w:r w:rsidR="00343C0E">
              <w:rPr>
                <w:rStyle w:val="ac"/>
                <w:rFonts w:cs="Times New Roman"/>
                <w:color w:val="000000" w:themeColor="text1"/>
                <w:szCs w:val="24"/>
              </w:rPr>
              <w:t xml:space="preserve"> </w:t>
            </w:r>
            <w:r w:rsidR="00343C0E">
              <w:rPr>
                <w:rStyle w:val="ac"/>
                <w:rFonts w:cs="Times New Roman"/>
                <w:color w:val="000000" w:themeColor="text1"/>
                <w:szCs w:val="24"/>
              </w:rPr>
              <w:t>本次以简易程序向特定对象发行股票方案概要</w:t>
            </w:r>
            <w:r w:rsidR="00343C0E">
              <w:rPr>
                <w:rFonts w:cs="Times New Roman"/>
                <w:color w:val="000000" w:themeColor="text1"/>
                <w:szCs w:val="24"/>
              </w:rPr>
              <w:tab/>
            </w:r>
            <w:r w:rsidR="00343C0E">
              <w:rPr>
                <w:rFonts w:cs="Times New Roman"/>
                <w:color w:val="000000" w:themeColor="text1"/>
                <w:szCs w:val="24"/>
              </w:rPr>
              <w:fldChar w:fldCharType="begin"/>
            </w:r>
            <w:r w:rsidR="00343C0E">
              <w:rPr>
                <w:rFonts w:cs="Times New Roman"/>
                <w:color w:val="000000" w:themeColor="text1"/>
                <w:szCs w:val="24"/>
              </w:rPr>
              <w:instrText xml:space="preserve"> PAGEREF _Toc146198207 \h </w:instrText>
            </w:r>
            <w:r w:rsidR="00343C0E">
              <w:rPr>
                <w:rFonts w:cs="Times New Roman"/>
                <w:color w:val="000000" w:themeColor="text1"/>
                <w:szCs w:val="24"/>
              </w:rPr>
            </w:r>
            <w:r w:rsidR="00343C0E">
              <w:rPr>
                <w:rFonts w:cs="Times New Roman"/>
                <w:color w:val="000000" w:themeColor="text1"/>
                <w:szCs w:val="24"/>
              </w:rPr>
              <w:fldChar w:fldCharType="separate"/>
            </w:r>
            <w:r w:rsidR="00343C0E">
              <w:rPr>
                <w:rFonts w:cs="Times New Roman"/>
                <w:color w:val="000000" w:themeColor="text1"/>
                <w:szCs w:val="24"/>
              </w:rPr>
              <w:t>8</w:t>
            </w:r>
            <w:r w:rsidR="00343C0E">
              <w:rPr>
                <w:rFonts w:cs="Times New Roman"/>
                <w:color w:val="000000" w:themeColor="text1"/>
                <w:szCs w:val="24"/>
              </w:rPr>
              <w:fldChar w:fldCharType="end"/>
            </w:r>
          </w:hyperlink>
        </w:p>
        <w:p w:rsidR="003C3FCD" w:rsidRDefault="0054411B">
          <w:pPr>
            <w:pStyle w:val="20"/>
            <w:tabs>
              <w:tab w:val="right" w:leader="dot" w:pos="8296"/>
            </w:tabs>
            <w:spacing w:line="360" w:lineRule="auto"/>
            <w:ind w:left="480"/>
            <w:rPr>
              <w:rFonts w:cs="Times New Roman"/>
              <w:color w:val="000000" w:themeColor="text1"/>
              <w:szCs w:val="24"/>
            </w:rPr>
          </w:pPr>
          <w:hyperlink w:anchor="_Toc146198208" w:history="1">
            <w:r w:rsidR="00343C0E">
              <w:rPr>
                <w:rStyle w:val="ac"/>
                <w:rFonts w:cs="Times New Roman"/>
                <w:color w:val="000000" w:themeColor="text1"/>
                <w:szCs w:val="24"/>
              </w:rPr>
              <w:t>一、公司基本情况</w:t>
            </w:r>
            <w:r w:rsidR="00343C0E">
              <w:rPr>
                <w:rFonts w:cs="Times New Roman"/>
                <w:color w:val="000000" w:themeColor="text1"/>
                <w:szCs w:val="24"/>
              </w:rPr>
              <w:tab/>
            </w:r>
            <w:r w:rsidR="00343C0E">
              <w:rPr>
                <w:rFonts w:cs="Times New Roman"/>
                <w:color w:val="000000" w:themeColor="text1"/>
                <w:szCs w:val="24"/>
              </w:rPr>
              <w:fldChar w:fldCharType="begin"/>
            </w:r>
            <w:r w:rsidR="00343C0E">
              <w:rPr>
                <w:rFonts w:cs="Times New Roman"/>
                <w:color w:val="000000" w:themeColor="text1"/>
                <w:szCs w:val="24"/>
              </w:rPr>
              <w:instrText xml:space="preserve"> PAGEREF _Toc146198208 \h </w:instrText>
            </w:r>
            <w:r w:rsidR="00343C0E">
              <w:rPr>
                <w:rFonts w:cs="Times New Roman"/>
                <w:color w:val="000000" w:themeColor="text1"/>
                <w:szCs w:val="24"/>
              </w:rPr>
            </w:r>
            <w:r w:rsidR="00343C0E">
              <w:rPr>
                <w:rFonts w:cs="Times New Roman"/>
                <w:color w:val="000000" w:themeColor="text1"/>
                <w:szCs w:val="24"/>
              </w:rPr>
              <w:fldChar w:fldCharType="separate"/>
            </w:r>
            <w:r w:rsidR="00343C0E">
              <w:rPr>
                <w:rFonts w:cs="Times New Roman"/>
                <w:color w:val="000000" w:themeColor="text1"/>
                <w:szCs w:val="24"/>
              </w:rPr>
              <w:t>8</w:t>
            </w:r>
            <w:r w:rsidR="00343C0E">
              <w:rPr>
                <w:rFonts w:cs="Times New Roman"/>
                <w:color w:val="000000" w:themeColor="text1"/>
                <w:szCs w:val="24"/>
              </w:rPr>
              <w:fldChar w:fldCharType="end"/>
            </w:r>
          </w:hyperlink>
        </w:p>
        <w:p w:rsidR="003C3FCD" w:rsidRDefault="0054411B">
          <w:pPr>
            <w:pStyle w:val="20"/>
            <w:tabs>
              <w:tab w:val="left" w:pos="3510"/>
              <w:tab w:val="right" w:leader="dot" w:pos="8296"/>
            </w:tabs>
            <w:spacing w:line="360" w:lineRule="auto"/>
            <w:ind w:left="480"/>
            <w:rPr>
              <w:rFonts w:cs="Times New Roman"/>
              <w:color w:val="000000" w:themeColor="text1"/>
              <w:szCs w:val="24"/>
            </w:rPr>
          </w:pPr>
          <w:hyperlink w:anchor="_Toc146198209" w:history="1">
            <w:r w:rsidR="00343C0E">
              <w:rPr>
                <w:rStyle w:val="ac"/>
                <w:rFonts w:cs="Times New Roman"/>
                <w:color w:val="000000" w:themeColor="text1"/>
                <w:szCs w:val="24"/>
              </w:rPr>
              <w:t>二、本次发行的背景和目的</w:t>
            </w:r>
            <w:r w:rsidR="00343C0E">
              <w:rPr>
                <w:rFonts w:cs="Times New Roman"/>
                <w:color w:val="000000" w:themeColor="text1"/>
                <w:szCs w:val="24"/>
              </w:rPr>
              <w:tab/>
            </w:r>
            <w:r w:rsidR="00343C0E">
              <w:rPr>
                <w:rFonts w:cs="Times New Roman"/>
                <w:color w:val="000000" w:themeColor="text1"/>
                <w:szCs w:val="24"/>
              </w:rPr>
              <w:tab/>
            </w:r>
            <w:r w:rsidR="00343C0E">
              <w:rPr>
                <w:rFonts w:cs="Times New Roman"/>
                <w:color w:val="000000" w:themeColor="text1"/>
                <w:szCs w:val="24"/>
              </w:rPr>
              <w:fldChar w:fldCharType="begin"/>
            </w:r>
            <w:r w:rsidR="00343C0E">
              <w:rPr>
                <w:rFonts w:cs="Times New Roman"/>
                <w:color w:val="000000" w:themeColor="text1"/>
                <w:szCs w:val="24"/>
              </w:rPr>
              <w:instrText xml:space="preserve"> PAGEREF _Toc146198209 \h </w:instrText>
            </w:r>
            <w:r w:rsidR="00343C0E">
              <w:rPr>
                <w:rFonts w:cs="Times New Roman"/>
                <w:color w:val="000000" w:themeColor="text1"/>
                <w:szCs w:val="24"/>
              </w:rPr>
            </w:r>
            <w:r w:rsidR="00343C0E">
              <w:rPr>
                <w:rFonts w:cs="Times New Roman"/>
                <w:color w:val="000000" w:themeColor="text1"/>
                <w:szCs w:val="24"/>
              </w:rPr>
              <w:fldChar w:fldCharType="separate"/>
            </w:r>
            <w:r w:rsidR="00343C0E">
              <w:rPr>
                <w:rFonts w:cs="Times New Roman"/>
                <w:color w:val="000000" w:themeColor="text1"/>
                <w:szCs w:val="24"/>
              </w:rPr>
              <w:t>8</w:t>
            </w:r>
            <w:r w:rsidR="00343C0E">
              <w:rPr>
                <w:rFonts w:cs="Times New Roman"/>
                <w:color w:val="000000" w:themeColor="text1"/>
                <w:szCs w:val="24"/>
              </w:rPr>
              <w:fldChar w:fldCharType="end"/>
            </w:r>
          </w:hyperlink>
        </w:p>
        <w:p w:rsidR="003C3FCD" w:rsidRDefault="0054411B">
          <w:pPr>
            <w:pStyle w:val="20"/>
            <w:tabs>
              <w:tab w:val="right" w:leader="dot" w:pos="8296"/>
            </w:tabs>
            <w:spacing w:line="360" w:lineRule="auto"/>
            <w:ind w:left="480"/>
            <w:rPr>
              <w:rFonts w:cs="Times New Roman"/>
              <w:color w:val="000000" w:themeColor="text1"/>
              <w:szCs w:val="24"/>
            </w:rPr>
          </w:pPr>
          <w:hyperlink w:anchor="_Toc146198210" w:history="1">
            <w:r w:rsidR="00343C0E">
              <w:rPr>
                <w:rStyle w:val="ac"/>
                <w:rFonts w:cs="Times New Roman"/>
                <w:color w:val="000000" w:themeColor="text1"/>
                <w:szCs w:val="24"/>
              </w:rPr>
              <w:t>三、发行对象及其与公司的关系</w:t>
            </w:r>
            <w:r w:rsidR="00343C0E">
              <w:rPr>
                <w:rFonts w:cs="Times New Roman"/>
                <w:color w:val="000000" w:themeColor="text1"/>
                <w:szCs w:val="24"/>
              </w:rPr>
              <w:tab/>
            </w:r>
            <w:r w:rsidR="00343C0E">
              <w:rPr>
                <w:rFonts w:cs="Times New Roman"/>
                <w:color w:val="000000" w:themeColor="text1"/>
                <w:szCs w:val="24"/>
              </w:rPr>
              <w:fldChar w:fldCharType="begin"/>
            </w:r>
            <w:r w:rsidR="00343C0E">
              <w:rPr>
                <w:rFonts w:cs="Times New Roman"/>
                <w:color w:val="000000" w:themeColor="text1"/>
                <w:szCs w:val="24"/>
              </w:rPr>
              <w:instrText xml:space="preserve"> PAGEREF _Toc146198210 \h </w:instrText>
            </w:r>
            <w:r w:rsidR="00343C0E">
              <w:rPr>
                <w:rFonts w:cs="Times New Roman"/>
                <w:color w:val="000000" w:themeColor="text1"/>
                <w:szCs w:val="24"/>
              </w:rPr>
            </w:r>
            <w:r w:rsidR="00343C0E">
              <w:rPr>
                <w:rFonts w:cs="Times New Roman"/>
                <w:color w:val="000000" w:themeColor="text1"/>
                <w:szCs w:val="24"/>
              </w:rPr>
              <w:fldChar w:fldCharType="separate"/>
            </w:r>
            <w:r w:rsidR="00343C0E">
              <w:rPr>
                <w:rFonts w:cs="Times New Roman"/>
                <w:color w:val="000000" w:themeColor="text1"/>
                <w:szCs w:val="24"/>
              </w:rPr>
              <w:t>10</w:t>
            </w:r>
            <w:r w:rsidR="00343C0E">
              <w:rPr>
                <w:rFonts w:cs="Times New Roman"/>
                <w:color w:val="000000" w:themeColor="text1"/>
                <w:szCs w:val="24"/>
              </w:rPr>
              <w:fldChar w:fldCharType="end"/>
            </w:r>
          </w:hyperlink>
        </w:p>
        <w:p w:rsidR="003C3FCD" w:rsidRDefault="0054411B">
          <w:pPr>
            <w:pStyle w:val="20"/>
            <w:tabs>
              <w:tab w:val="right" w:leader="dot" w:pos="8296"/>
            </w:tabs>
            <w:spacing w:line="360" w:lineRule="auto"/>
            <w:ind w:left="480"/>
            <w:rPr>
              <w:rFonts w:cs="Times New Roman"/>
              <w:color w:val="000000" w:themeColor="text1"/>
              <w:szCs w:val="24"/>
            </w:rPr>
          </w:pPr>
          <w:hyperlink w:anchor="_Toc146198211" w:history="1">
            <w:r w:rsidR="00343C0E">
              <w:rPr>
                <w:rStyle w:val="ac"/>
                <w:rFonts w:cs="Times New Roman"/>
                <w:color w:val="000000" w:themeColor="text1"/>
                <w:szCs w:val="24"/>
              </w:rPr>
              <w:t>四、本次发行股票的方案概要</w:t>
            </w:r>
            <w:r w:rsidR="00343C0E">
              <w:rPr>
                <w:rFonts w:cs="Times New Roman"/>
                <w:color w:val="000000" w:themeColor="text1"/>
                <w:szCs w:val="24"/>
              </w:rPr>
              <w:tab/>
            </w:r>
            <w:r w:rsidR="00343C0E">
              <w:rPr>
                <w:rFonts w:cs="Times New Roman"/>
                <w:color w:val="000000" w:themeColor="text1"/>
                <w:szCs w:val="24"/>
              </w:rPr>
              <w:fldChar w:fldCharType="begin"/>
            </w:r>
            <w:r w:rsidR="00343C0E">
              <w:rPr>
                <w:rFonts w:cs="Times New Roman"/>
                <w:color w:val="000000" w:themeColor="text1"/>
                <w:szCs w:val="24"/>
              </w:rPr>
              <w:instrText xml:space="preserve"> PAGEREF _Toc146198211 \h </w:instrText>
            </w:r>
            <w:r w:rsidR="00343C0E">
              <w:rPr>
                <w:rFonts w:cs="Times New Roman"/>
                <w:color w:val="000000" w:themeColor="text1"/>
                <w:szCs w:val="24"/>
              </w:rPr>
            </w:r>
            <w:r w:rsidR="00343C0E">
              <w:rPr>
                <w:rFonts w:cs="Times New Roman"/>
                <w:color w:val="000000" w:themeColor="text1"/>
                <w:szCs w:val="24"/>
              </w:rPr>
              <w:fldChar w:fldCharType="separate"/>
            </w:r>
            <w:r w:rsidR="00343C0E">
              <w:rPr>
                <w:rFonts w:cs="Times New Roman"/>
                <w:color w:val="000000" w:themeColor="text1"/>
                <w:szCs w:val="24"/>
              </w:rPr>
              <w:t>10</w:t>
            </w:r>
            <w:r w:rsidR="00343C0E">
              <w:rPr>
                <w:rFonts w:cs="Times New Roman"/>
                <w:color w:val="000000" w:themeColor="text1"/>
                <w:szCs w:val="24"/>
              </w:rPr>
              <w:fldChar w:fldCharType="end"/>
            </w:r>
          </w:hyperlink>
        </w:p>
        <w:p w:rsidR="003C3FCD" w:rsidRDefault="0054411B">
          <w:pPr>
            <w:pStyle w:val="20"/>
            <w:tabs>
              <w:tab w:val="right" w:leader="dot" w:pos="8296"/>
            </w:tabs>
            <w:spacing w:line="360" w:lineRule="auto"/>
            <w:ind w:left="480"/>
            <w:rPr>
              <w:rFonts w:cs="Times New Roman"/>
              <w:color w:val="000000" w:themeColor="text1"/>
              <w:szCs w:val="24"/>
            </w:rPr>
          </w:pPr>
          <w:hyperlink w:anchor="_Toc146198212" w:history="1">
            <w:r w:rsidR="00343C0E">
              <w:rPr>
                <w:rStyle w:val="ac"/>
                <w:rFonts w:cs="Times New Roman"/>
                <w:color w:val="000000" w:themeColor="text1"/>
                <w:szCs w:val="24"/>
              </w:rPr>
              <w:t>五、本次发行是否构成关联交易</w:t>
            </w:r>
            <w:r w:rsidR="00343C0E">
              <w:rPr>
                <w:rFonts w:cs="Times New Roman"/>
                <w:color w:val="000000" w:themeColor="text1"/>
                <w:szCs w:val="24"/>
              </w:rPr>
              <w:tab/>
            </w:r>
            <w:r w:rsidR="00343C0E">
              <w:rPr>
                <w:rFonts w:cs="Times New Roman"/>
                <w:color w:val="000000" w:themeColor="text1"/>
                <w:szCs w:val="24"/>
              </w:rPr>
              <w:fldChar w:fldCharType="begin"/>
            </w:r>
            <w:r w:rsidR="00343C0E">
              <w:rPr>
                <w:rFonts w:cs="Times New Roman"/>
                <w:color w:val="000000" w:themeColor="text1"/>
                <w:szCs w:val="24"/>
              </w:rPr>
              <w:instrText xml:space="preserve"> PAGEREF _Toc146198212 \h </w:instrText>
            </w:r>
            <w:r w:rsidR="00343C0E">
              <w:rPr>
                <w:rFonts w:cs="Times New Roman"/>
                <w:color w:val="000000" w:themeColor="text1"/>
                <w:szCs w:val="24"/>
              </w:rPr>
            </w:r>
            <w:r w:rsidR="00343C0E">
              <w:rPr>
                <w:rFonts w:cs="Times New Roman"/>
                <w:color w:val="000000" w:themeColor="text1"/>
                <w:szCs w:val="24"/>
              </w:rPr>
              <w:fldChar w:fldCharType="separate"/>
            </w:r>
            <w:r w:rsidR="00343C0E">
              <w:rPr>
                <w:rFonts w:cs="Times New Roman"/>
                <w:color w:val="000000" w:themeColor="text1"/>
                <w:szCs w:val="24"/>
              </w:rPr>
              <w:t>13</w:t>
            </w:r>
            <w:r w:rsidR="00343C0E">
              <w:rPr>
                <w:rFonts w:cs="Times New Roman"/>
                <w:color w:val="000000" w:themeColor="text1"/>
                <w:szCs w:val="24"/>
              </w:rPr>
              <w:fldChar w:fldCharType="end"/>
            </w:r>
          </w:hyperlink>
        </w:p>
        <w:p w:rsidR="003C3FCD" w:rsidRDefault="0054411B">
          <w:pPr>
            <w:pStyle w:val="20"/>
            <w:tabs>
              <w:tab w:val="right" w:leader="dot" w:pos="8296"/>
            </w:tabs>
            <w:spacing w:line="360" w:lineRule="auto"/>
            <w:ind w:left="480"/>
            <w:rPr>
              <w:rFonts w:cs="Times New Roman"/>
              <w:color w:val="000000" w:themeColor="text1"/>
              <w:szCs w:val="24"/>
            </w:rPr>
          </w:pPr>
          <w:hyperlink w:anchor="_Toc146198213" w:history="1">
            <w:r w:rsidR="00343C0E">
              <w:rPr>
                <w:rStyle w:val="ac"/>
                <w:rFonts w:cs="Times New Roman"/>
                <w:color w:val="000000" w:themeColor="text1"/>
                <w:szCs w:val="24"/>
              </w:rPr>
              <w:t>六、本次发行是否导致公司控制权发生变化</w:t>
            </w:r>
            <w:r w:rsidR="00343C0E">
              <w:rPr>
                <w:rFonts w:cs="Times New Roman"/>
                <w:color w:val="000000" w:themeColor="text1"/>
                <w:szCs w:val="24"/>
              </w:rPr>
              <w:tab/>
            </w:r>
            <w:r w:rsidR="00343C0E">
              <w:rPr>
                <w:rFonts w:cs="Times New Roman"/>
                <w:color w:val="000000" w:themeColor="text1"/>
                <w:szCs w:val="24"/>
              </w:rPr>
              <w:fldChar w:fldCharType="begin"/>
            </w:r>
            <w:r w:rsidR="00343C0E">
              <w:rPr>
                <w:rFonts w:cs="Times New Roman"/>
                <w:color w:val="000000" w:themeColor="text1"/>
                <w:szCs w:val="24"/>
              </w:rPr>
              <w:instrText xml:space="preserve"> PAGEREF _Toc146198213 \h </w:instrText>
            </w:r>
            <w:r w:rsidR="00343C0E">
              <w:rPr>
                <w:rFonts w:cs="Times New Roman"/>
                <w:color w:val="000000" w:themeColor="text1"/>
                <w:szCs w:val="24"/>
              </w:rPr>
            </w:r>
            <w:r w:rsidR="00343C0E">
              <w:rPr>
                <w:rFonts w:cs="Times New Roman"/>
                <w:color w:val="000000" w:themeColor="text1"/>
                <w:szCs w:val="24"/>
              </w:rPr>
              <w:fldChar w:fldCharType="separate"/>
            </w:r>
            <w:r w:rsidR="00343C0E">
              <w:rPr>
                <w:rFonts w:cs="Times New Roman"/>
                <w:color w:val="000000" w:themeColor="text1"/>
                <w:szCs w:val="24"/>
              </w:rPr>
              <w:t>13</w:t>
            </w:r>
            <w:r w:rsidR="00343C0E">
              <w:rPr>
                <w:rFonts w:cs="Times New Roman"/>
                <w:color w:val="000000" w:themeColor="text1"/>
                <w:szCs w:val="24"/>
              </w:rPr>
              <w:fldChar w:fldCharType="end"/>
            </w:r>
          </w:hyperlink>
        </w:p>
        <w:p w:rsidR="003C3FCD" w:rsidRDefault="0054411B">
          <w:pPr>
            <w:pStyle w:val="20"/>
            <w:tabs>
              <w:tab w:val="right" w:leader="dot" w:pos="8296"/>
            </w:tabs>
            <w:spacing w:line="360" w:lineRule="auto"/>
            <w:ind w:left="480"/>
            <w:rPr>
              <w:rFonts w:cs="Times New Roman"/>
              <w:color w:val="000000" w:themeColor="text1"/>
              <w:szCs w:val="24"/>
            </w:rPr>
          </w:pPr>
          <w:hyperlink w:anchor="_Toc146198214" w:history="1">
            <w:r w:rsidR="00343C0E">
              <w:rPr>
                <w:rStyle w:val="ac"/>
                <w:rFonts w:cs="Times New Roman"/>
                <w:color w:val="000000" w:themeColor="text1"/>
                <w:szCs w:val="24"/>
              </w:rPr>
              <w:t>七、本次发行不会导致股权分布不具备上市条件</w:t>
            </w:r>
            <w:r w:rsidR="00343C0E">
              <w:rPr>
                <w:rFonts w:cs="Times New Roman"/>
                <w:color w:val="000000" w:themeColor="text1"/>
                <w:szCs w:val="24"/>
              </w:rPr>
              <w:tab/>
            </w:r>
            <w:r w:rsidR="00343C0E">
              <w:rPr>
                <w:rFonts w:cs="Times New Roman"/>
                <w:color w:val="000000" w:themeColor="text1"/>
                <w:szCs w:val="24"/>
              </w:rPr>
              <w:fldChar w:fldCharType="begin"/>
            </w:r>
            <w:r w:rsidR="00343C0E">
              <w:rPr>
                <w:rFonts w:cs="Times New Roman"/>
                <w:color w:val="000000" w:themeColor="text1"/>
                <w:szCs w:val="24"/>
              </w:rPr>
              <w:instrText xml:space="preserve"> PAGEREF _Toc146198214 \h </w:instrText>
            </w:r>
            <w:r w:rsidR="00343C0E">
              <w:rPr>
                <w:rFonts w:cs="Times New Roman"/>
                <w:color w:val="000000" w:themeColor="text1"/>
                <w:szCs w:val="24"/>
              </w:rPr>
            </w:r>
            <w:r w:rsidR="00343C0E">
              <w:rPr>
                <w:rFonts w:cs="Times New Roman"/>
                <w:color w:val="000000" w:themeColor="text1"/>
                <w:szCs w:val="24"/>
              </w:rPr>
              <w:fldChar w:fldCharType="separate"/>
            </w:r>
            <w:r w:rsidR="00343C0E">
              <w:rPr>
                <w:rFonts w:cs="Times New Roman"/>
                <w:color w:val="000000" w:themeColor="text1"/>
                <w:szCs w:val="24"/>
              </w:rPr>
              <w:t>14</w:t>
            </w:r>
            <w:r w:rsidR="00343C0E">
              <w:rPr>
                <w:rFonts w:cs="Times New Roman"/>
                <w:color w:val="000000" w:themeColor="text1"/>
                <w:szCs w:val="24"/>
              </w:rPr>
              <w:fldChar w:fldCharType="end"/>
            </w:r>
          </w:hyperlink>
        </w:p>
        <w:p w:rsidR="003C3FCD" w:rsidRDefault="0054411B">
          <w:pPr>
            <w:pStyle w:val="20"/>
            <w:tabs>
              <w:tab w:val="right" w:leader="dot" w:pos="8296"/>
            </w:tabs>
            <w:spacing w:line="360" w:lineRule="auto"/>
            <w:ind w:left="480"/>
            <w:rPr>
              <w:rFonts w:cs="Times New Roman"/>
              <w:color w:val="000000" w:themeColor="text1"/>
              <w:szCs w:val="24"/>
            </w:rPr>
          </w:pPr>
          <w:hyperlink w:anchor="_Toc146198215" w:history="1">
            <w:r w:rsidR="00343C0E">
              <w:rPr>
                <w:rStyle w:val="ac"/>
                <w:rFonts w:cs="Times New Roman"/>
                <w:color w:val="000000" w:themeColor="text1"/>
                <w:szCs w:val="24"/>
              </w:rPr>
              <w:t>八、本次发行的审批程序</w:t>
            </w:r>
            <w:r w:rsidR="00343C0E">
              <w:rPr>
                <w:rFonts w:cs="Times New Roman"/>
                <w:color w:val="000000" w:themeColor="text1"/>
                <w:szCs w:val="24"/>
              </w:rPr>
              <w:tab/>
            </w:r>
            <w:r w:rsidR="00343C0E">
              <w:rPr>
                <w:rFonts w:cs="Times New Roman"/>
                <w:color w:val="000000" w:themeColor="text1"/>
                <w:szCs w:val="24"/>
              </w:rPr>
              <w:fldChar w:fldCharType="begin"/>
            </w:r>
            <w:r w:rsidR="00343C0E">
              <w:rPr>
                <w:rFonts w:cs="Times New Roman"/>
                <w:color w:val="000000" w:themeColor="text1"/>
                <w:szCs w:val="24"/>
              </w:rPr>
              <w:instrText xml:space="preserve"> PAGEREF _Toc146198215 \h </w:instrText>
            </w:r>
            <w:r w:rsidR="00343C0E">
              <w:rPr>
                <w:rFonts w:cs="Times New Roman"/>
                <w:color w:val="000000" w:themeColor="text1"/>
                <w:szCs w:val="24"/>
              </w:rPr>
            </w:r>
            <w:r w:rsidR="00343C0E">
              <w:rPr>
                <w:rFonts w:cs="Times New Roman"/>
                <w:color w:val="000000" w:themeColor="text1"/>
                <w:szCs w:val="24"/>
              </w:rPr>
              <w:fldChar w:fldCharType="separate"/>
            </w:r>
            <w:r w:rsidR="00343C0E">
              <w:rPr>
                <w:rFonts w:cs="Times New Roman"/>
                <w:color w:val="000000" w:themeColor="text1"/>
                <w:szCs w:val="24"/>
              </w:rPr>
              <w:t>14</w:t>
            </w:r>
            <w:r w:rsidR="00343C0E">
              <w:rPr>
                <w:rFonts w:cs="Times New Roman"/>
                <w:color w:val="000000" w:themeColor="text1"/>
                <w:szCs w:val="24"/>
              </w:rPr>
              <w:fldChar w:fldCharType="end"/>
            </w:r>
          </w:hyperlink>
        </w:p>
        <w:p w:rsidR="003C3FCD" w:rsidRDefault="0054411B">
          <w:pPr>
            <w:pStyle w:val="10"/>
            <w:spacing w:line="360" w:lineRule="auto"/>
            <w:rPr>
              <w:rFonts w:cs="Times New Roman"/>
              <w:color w:val="000000" w:themeColor="text1"/>
              <w:szCs w:val="24"/>
            </w:rPr>
          </w:pPr>
          <w:hyperlink w:anchor="_Toc146198216" w:history="1">
            <w:r w:rsidR="00343C0E">
              <w:rPr>
                <w:rStyle w:val="ac"/>
                <w:rFonts w:cs="Times New Roman"/>
                <w:color w:val="000000" w:themeColor="text1"/>
                <w:szCs w:val="24"/>
              </w:rPr>
              <w:t>第二节</w:t>
            </w:r>
            <w:r w:rsidR="00343C0E">
              <w:rPr>
                <w:rStyle w:val="ac"/>
                <w:rFonts w:cs="Times New Roman"/>
                <w:color w:val="000000" w:themeColor="text1"/>
                <w:szCs w:val="24"/>
              </w:rPr>
              <w:t xml:space="preserve"> </w:t>
            </w:r>
            <w:r w:rsidR="00343C0E">
              <w:rPr>
                <w:rStyle w:val="ac"/>
                <w:rFonts w:cs="Times New Roman"/>
                <w:color w:val="000000" w:themeColor="text1"/>
                <w:szCs w:val="24"/>
              </w:rPr>
              <w:t>董事会关于本次募集资金运用的可行性分析</w:t>
            </w:r>
            <w:r w:rsidR="00343C0E">
              <w:rPr>
                <w:rFonts w:cs="Times New Roman"/>
                <w:color w:val="000000" w:themeColor="text1"/>
                <w:szCs w:val="24"/>
              </w:rPr>
              <w:tab/>
            </w:r>
            <w:r w:rsidR="00343C0E">
              <w:rPr>
                <w:rFonts w:cs="Times New Roman"/>
                <w:color w:val="000000" w:themeColor="text1"/>
                <w:szCs w:val="24"/>
              </w:rPr>
              <w:fldChar w:fldCharType="begin"/>
            </w:r>
            <w:r w:rsidR="00343C0E">
              <w:rPr>
                <w:rFonts w:cs="Times New Roman"/>
                <w:color w:val="000000" w:themeColor="text1"/>
                <w:szCs w:val="24"/>
              </w:rPr>
              <w:instrText xml:space="preserve"> PAGEREF _Toc146198216 \h </w:instrText>
            </w:r>
            <w:r w:rsidR="00343C0E">
              <w:rPr>
                <w:rFonts w:cs="Times New Roman"/>
                <w:color w:val="000000" w:themeColor="text1"/>
                <w:szCs w:val="24"/>
              </w:rPr>
            </w:r>
            <w:r w:rsidR="00343C0E">
              <w:rPr>
                <w:rFonts w:cs="Times New Roman"/>
                <w:color w:val="000000" w:themeColor="text1"/>
                <w:szCs w:val="24"/>
              </w:rPr>
              <w:fldChar w:fldCharType="separate"/>
            </w:r>
            <w:r w:rsidR="00343C0E">
              <w:rPr>
                <w:rFonts w:cs="Times New Roman"/>
                <w:color w:val="000000" w:themeColor="text1"/>
                <w:szCs w:val="24"/>
              </w:rPr>
              <w:t>15</w:t>
            </w:r>
            <w:r w:rsidR="00343C0E">
              <w:rPr>
                <w:rFonts w:cs="Times New Roman"/>
                <w:color w:val="000000" w:themeColor="text1"/>
                <w:szCs w:val="24"/>
              </w:rPr>
              <w:fldChar w:fldCharType="end"/>
            </w:r>
          </w:hyperlink>
        </w:p>
        <w:p w:rsidR="003C3FCD" w:rsidRDefault="0054411B">
          <w:pPr>
            <w:pStyle w:val="20"/>
            <w:tabs>
              <w:tab w:val="right" w:leader="dot" w:pos="8296"/>
            </w:tabs>
            <w:spacing w:line="360" w:lineRule="auto"/>
            <w:ind w:left="480"/>
            <w:rPr>
              <w:rFonts w:cs="Times New Roman"/>
              <w:color w:val="000000" w:themeColor="text1"/>
              <w:szCs w:val="24"/>
            </w:rPr>
          </w:pPr>
          <w:hyperlink w:anchor="_Toc146198217" w:history="1">
            <w:r w:rsidR="00343C0E">
              <w:rPr>
                <w:rStyle w:val="ac"/>
                <w:rFonts w:cs="Times New Roman"/>
                <w:color w:val="000000" w:themeColor="text1"/>
                <w:szCs w:val="24"/>
              </w:rPr>
              <w:t>一、本次发行募集资金投资计划</w:t>
            </w:r>
            <w:r w:rsidR="00343C0E">
              <w:rPr>
                <w:rFonts w:cs="Times New Roman"/>
                <w:color w:val="000000" w:themeColor="text1"/>
                <w:szCs w:val="24"/>
              </w:rPr>
              <w:tab/>
            </w:r>
            <w:r w:rsidR="00343C0E">
              <w:rPr>
                <w:rFonts w:cs="Times New Roman"/>
                <w:color w:val="000000" w:themeColor="text1"/>
                <w:szCs w:val="24"/>
              </w:rPr>
              <w:fldChar w:fldCharType="begin"/>
            </w:r>
            <w:r w:rsidR="00343C0E">
              <w:rPr>
                <w:rFonts w:cs="Times New Roman"/>
                <w:color w:val="000000" w:themeColor="text1"/>
                <w:szCs w:val="24"/>
              </w:rPr>
              <w:instrText xml:space="preserve"> PAGEREF _Toc146198217 \h </w:instrText>
            </w:r>
            <w:r w:rsidR="00343C0E">
              <w:rPr>
                <w:rFonts w:cs="Times New Roman"/>
                <w:color w:val="000000" w:themeColor="text1"/>
                <w:szCs w:val="24"/>
              </w:rPr>
            </w:r>
            <w:r w:rsidR="00343C0E">
              <w:rPr>
                <w:rFonts w:cs="Times New Roman"/>
                <w:color w:val="000000" w:themeColor="text1"/>
                <w:szCs w:val="24"/>
              </w:rPr>
              <w:fldChar w:fldCharType="separate"/>
            </w:r>
            <w:r w:rsidR="00343C0E">
              <w:rPr>
                <w:rFonts w:cs="Times New Roman"/>
                <w:color w:val="000000" w:themeColor="text1"/>
                <w:szCs w:val="24"/>
              </w:rPr>
              <w:t>15</w:t>
            </w:r>
            <w:r w:rsidR="00343C0E">
              <w:rPr>
                <w:rFonts w:cs="Times New Roman"/>
                <w:color w:val="000000" w:themeColor="text1"/>
                <w:szCs w:val="24"/>
              </w:rPr>
              <w:fldChar w:fldCharType="end"/>
            </w:r>
          </w:hyperlink>
        </w:p>
        <w:p w:rsidR="003C3FCD" w:rsidRDefault="0054411B">
          <w:pPr>
            <w:pStyle w:val="20"/>
            <w:tabs>
              <w:tab w:val="right" w:leader="dot" w:pos="8296"/>
            </w:tabs>
            <w:spacing w:line="360" w:lineRule="auto"/>
            <w:ind w:left="480"/>
            <w:rPr>
              <w:rFonts w:cs="Times New Roman"/>
              <w:color w:val="000000" w:themeColor="text1"/>
              <w:szCs w:val="24"/>
            </w:rPr>
          </w:pPr>
          <w:hyperlink w:anchor="_Toc146198218" w:history="1">
            <w:r w:rsidR="00343C0E">
              <w:rPr>
                <w:rStyle w:val="ac"/>
                <w:rFonts w:cs="Times New Roman"/>
                <w:color w:val="000000" w:themeColor="text1"/>
                <w:szCs w:val="24"/>
              </w:rPr>
              <w:t>二、本次募集资金使用投资项目的具体情况</w:t>
            </w:r>
            <w:r w:rsidR="00343C0E">
              <w:rPr>
                <w:rFonts w:cs="Times New Roman"/>
                <w:color w:val="000000" w:themeColor="text1"/>
                <w:szCs w:val="24"/>
              </w:rPr>
              <w:tab/>
            </w:r>
            <w:r w:rsidR="00343C0E">
              <w:rPr>
                <w:rFonts w:cs="Times New Roman"/>
                <w:color w:val="000000" w:themeColor="text1"/>
                <w:szCs w:val="24"/>
              </w:rPr>
              <w:fldChar w:fldCharType="begin"/>
            </w:r>
            <w:r w:rsidR="00343C0E">
              <w:rPr>
                <w:rFonts w:cs="Times New Roman"/>
                <w:color w:val="000000" w:themeColor="text1"/>
                <w:szCs w:val="24"/>
              </w:rPr>
              <w:instrText xml:space="preserve"> PAGEREF _Toc146198218 \h </w:instrText>
            </w:r>
            <w:r w:rsidR="00343C0E">
              <w:rPr>
                <w:rFonts w:cs="Times New Roman"/>
                <w:color w:val="000000" w:themeColor="text1"/>
                <w:szCs w:val="24"/>
              </w:rPr>
            </w:r>
            <w:r w:rsidR="00343C0E">
              <w:rPr>
                <w:rFonts w:cs="Times New Roman"/>
                <w:color w:val="000000" w:themeColor="text1"/>
                <w:szCs w:val="24"/>
              </w:rPr>
              <w:fldChar w:fldCharType="separate"/>
            </w:r>
            <w:r w:rsidR="00343C0E">
              <w:rPr>
                <w:rFonts w:cs="Times New Roman"/>
                <w:color w:val="000000" w:themeColor="text1"/>
                <w:szCs w:val="24"/>
              </w:rPr>
              <w:t>15</w:t>
            </w:r>
            <w:r w:rsidR="00343C0E">
              <w:rPr>
                <w:rFonts w:cs="Times New Roman"/>
                <w:color w:val="000000" w:themeColor="text1"/>
                <w:szCs w:val="24"/>
              </w:rPr>
              <w:fldChar w:fldCharType="end"/>
            </w:r>
          </w:hyperlink>
        </w:p>
        <w:p w:rsidR="003C3FCD" w:rsidRDefault="0054411B">
          <w:pPr>
            <w:pStyle w:val="20"/>
            <w:tabs>
              <w:tab w:val="right" w:leader="dot" w:pos="8296"/>
            </w:tabs>
            <w:spacing w:line="360" w:lineRule="auto"/>
            <w:ind w:left="480"/>
            <w:rPr>
              <w:rFonts w:cs="Times New Roman"/>
              <w:color w:val="000000" w:themeColor="text1"/>
              <w:szCs w:val="24"/>
            </w:rPr>
          </w:pPr>
          <w:hyperlink w:anchor="_Toc146198219" w:history="1">
            <w:r w:rsidR="00343C0E">
              <w:rPr>
                <w:rStyle w:val="ac"/>
                <w:rFonts w:cs="Times New Roman"/>
                <w:color w:val="000000" w:themeColor="text1"/>
                <w:szCs w:val="24"/>
              </w:rPr>
              <w:t>三、本次发行对公司经营管理、财务状况的影响</w:t>
            </w:r>
            <w:r w:rsidR="00343C0E">
              <w:rPr>
                <w:rFonts w:cs="Times New Roman"/>
                <w:color w:val="000000" w:themeColor="text1"/>
                <w:szCs w:val="24"/>
              </w:rPr>
              <w:tab/>
            </w:r>
            <w:r w:rsidR="00343C0E">
              <w:rPr>
                <w:rFonts w:cs="Times New Roman"/>
                <w:color w:val="000000" w:themeColor="text1"/>
                <w:szCs w:val="24"/>
              </w:rPr>
              <w:fldChar w:fldCharType="begin"/>
            </w:r>
            <w:r w:rsidR="00343C0E">
              <w:rPr>
                <w:rFonts w:cs="Times New Roman"/>
                <w:color w:val="000000" w:themeColor="text1"/>
                <w:szCs w:val="24"/>
              </w:rPr>
              <w:instrText xml:space="preserve"> PAGEREF _Toc146198219 \h </w:instrText>
            </w:r>
            <w:r w:rsidR="00343C0E">
              <w:rPr>
                <w:rFonts w:cs="Times New Roman"/>
                <w:color w:val="000000" w:themeColor="text1"/>
                <w:szCs w:val="24"/>
              </w:rPr>
            </w:r>
            <w:r w:rsidR="00343C0E">
              <w:rPr>
                <w:rFonts w:cs="Times New Roman"/>
                <w:color w:val="000000" w:themeColor="text1"/>
                <w:szCs w:val="24"/>
              </w:rPr>
              <w:fldChar w:fldCharType="separate"/>
            </w:r>
            <w:r w:rsidR="00343C0E">
              <w:rPr>
                <w:rFonts w:cs="Times New Roman"/>
                <w:color w:val="000000" w:themeColor="text1"/>
                <w:szCs w:val="24"/>
              </w:rPr>
              <w:t>19</w:t>
            </w:r>
            <w:r w:rsidR="00343C0E">
              <w:rPr>
                <w:rFonts w:cs="Times New Roman"/>
                <w:color w:val="000000" w:themeColor="text1"/>
                <w:szCs w:val="24"/>
              </w:rPr>
              <w:fldChar w:fldCharType="end"/>
            </w:r>
          </w:hyperlink>
        </w:p>
        <w:p w:rsidR="003C3FCD" w:rsidRDefault="0054411B">
          <w:pPr>
            <w:pStyle w:val="20"/>
            <w:tabs>
              <w:tab w:val="right" w:leader="dot" w:pos="8296"/>
            </w:tabs>
            <w:spacing w:line="360" w:lineRule="auto"/>
            <w:ind w:left="480"/>
            <w:rPr>
              <w:rFonts w:cs="Times New Roman"/>
              <w:color w:val="000000" w:themeColor="text1"/>
              <w:szCs w:val="24"/>
            </w:rPr>
          </w:pPr>
          <w:hyperlink w:anchor="_Toc146198220" w:history="1">
            <w:r w:rsidR="00343C0E">
              <w:rPr>
                <w:rStyle w:val="ac"/>
                <w:rFonts w:cs="Times New Roman"/>
                <w:color w:val="000000" w:themeColor="text1"/>
                <w:szCs w:val="24"/>
              </w:rPr>
              <w:t>四、本次募集资金投资项目可行性分析结论</w:t>
            </w:r>
            <w:r w:rsidR="00343C0E">
              <w:rPr>
                <w:rFonts w:cs="Times New Roman"/>
                <w:color w:val="000000" w:themeColor="text1"/>
                <w:szCs w:val="24"/>
              </w:rPr>
              <w:tab/>
            </w:r>
            <w:r w:rsidR="00343C0E">
              <w:rPr>
                <w:rFonts w:cs="Times New Roman"/>
                <w:color w:val="000000" w:themeColor="text1"/>
                <w:szCs w:val="24"/>
              </w:rPr>
              <w:fldChar w:fldCharType="begin"/>
            </w:r>
            <w:r w:rsidR="00343C0E">
              <w:rPr>
                <w:rFonts w:cs="Times New Roman"/>
                <w:color w:val="000000" w:themeColor="text1"/>
                <w:szCs w:val="24"/>
              </w:rPr>
              <w:instrText xml:space="preserve"> PAGEREF _Toc146198220 \h </w:instrText>
            </w:r>
            <w:r w:rsidR="00343C0E">
              <w:rPr>
                <w:rFonts w:cs="Times New Roman"/>
                <w:color w:val="000000" w:themeColor="text1"/>
                <w:szCs w:val="24"/>
              </w:rPr>
            </w:r>
            <w:r w:rsidR="00343C0E">
              <w:rPr>
                <w:rFonts w:cs="Times New Roman"/>
                <w:color w:val="000000" w:themeColor="text1"/>
                <w:szCs w:val="24"/>
              </w:rPr>
              <w:fldChar w:fldCharType="separate"/>
            </w:r>
            <w:r w:rsidR="00343C0E">
              <w:rPr>
                <w:rFonts w:cs="Times New Roman"/>
                <w:color w:val="000000" w:themeColor="text1"/>
                <w:szCs w:val="24"/>
              </w:rPr>
              <w:t>19</w:t>
            </w:r>
            <w:r w:rsidR="00343C0E">
              <w:rPr>
                <w:rFonts w:cs="Times New Roman"/>
                <w:color w:val="000000" w:themeColor="text1"/>
                <w:szCs w:val="24"/>
              </w:rPr>
              <w:fldChar w:fldCharType="end"/>
            </w:r>
          </w:hyperlink>
        </w:p>
        <w:p w:rsidR="003C3FCD" w:rsidRDefault="0054411B">
          <w:pPr>
            <w:pStyle w:val="10"/>
            <w:spacing w:line="360" w:lineRule="auto"/>
            <w:rPr>
              <w:rFonts w:cs="Times New Roman"/>
              <w:color w:val="000000" w:themeColor="text1"/>
              <w:szCs w:val="24"/>
            </w:rPr>
          </w:pPr>
          <w:hyperlink w:anchor="_Toc146198221" w:history="1">
            <w:r w:rsidR="00343C0E">
              <w:rPr>
                <w:rStyle w:val="ac"/>
                <w:rFonts w:cs="Times New Roman"/>
                <w:color w:val="000000" w:themeColor="text1"/>
                <w:szCs w:val="24"/>
              </w:rPr>
              <w:t>第三节</w:t>
            </w:r>
            <w:r w:rsidR="00343C0E">
              <w:rPr>
                <w:rStyle w:val="ac"/>
                <w:rFonts w:cs="Times New Roman"/>
                <w:color w:val="000000" w:themeColor="text1"/>
                <w:szCs w:val="24"/>
              </w:rPr>
              <w:t xml:space="preserve"> </w:t>
            </w:r>
            <w:r w:rsidR="00343C0E">
              <w:rPr>
                <w:rStyle w:val="ac"/>
                <w:rFonts w:cs="Times New Roman"/>
                <w:color w:val="000000" w:themeColor="text1"/>
                <w:szCs w:val="24"/>
              </w:rPr>
              <w:t>董事会关于本次发行对公司影响的讨论与分析</w:t>
            </w:r>
            <w:r w:rsidR="00343C0E">
              <w:rPr>
                <w:rFonts w:cs="Times New Roman"/>
                <w:color w:val="000000" w:themeColor="text1"/>
                <w:szCs w:val="24"/>
              </w:rPr>
              <w:tab/>
            </w:r>
            <w:r w:rsidR="00343C0E">
              <w:rPr>
                <w:rFonts w:cs="Times New Roman"/>
                <w:color w:val="000000" w:themeColor="text1"/>
                <w:szCs w:val="24"/>
              </w:rPr>
              <w:fldChar w:fldCharType="begin"/>
            </w:r>
            <w:r w:rsidR="00343C0E">
              <w:rPr>
                <w:rFonts w:cs="Times New Roman"/>
                <w:color w:val="000000" w:themeColor="text1"/>
                <w:szCs w:val="24"/>
              </w:rPr>
              <w:instrText xml:space="preserve"> PAGEREF _Toc146198221 \h </w:instrText>
            </w:r>
            <w:r w:rsidR="00343C0E">
              <w:rPr>
                <w:rFonts w:cs="Times New Roman"/>
                <w:color w:val="000000" w:themeColor="text1"/>
                <w:szCs w:val="24"/>
              </w:rPr>
            </w:r>
            <w:r w:rsidR="00343C0E">
              <w:rPr>
                <w:rFonts w:cs="Times New Roman"/>
                <w:color w:val="000000" w:themeColor="text1"/>
                <w:szCs w:val="24"/>
              </w:rPr>
              <w:fldChar w:fldCharType="separate"/>
            </w:r>
            <w:r w:rsidR="00343C0E">
              <w:rPr>
                <w:rFonts w:cs="Times New Roman"/>
                <w:color w:val="000000" w:themeColor="text1"/>
                <w:szCs w:val="24"/>
              </w:rPr>
              <w:t>21</w:t>
            </w:r>
            <w:r w:rsidR="00343C0E">
              <w:rPr>
                <w:rFonts w:cs="Times New Roman"/>
                <w:color w:val="000000" w:themeColor="text1"/>
                <w:szCs w:val="24"/>
              </w:rPr>
              <w:fldChar w:fldCharType="end"/>
            </w:r>
          </w:hyperlink>
        </w:p>
        <w:p w:rsidR="003C3FCD" w:rsidRDefault="0054411B">
          <w:pPr>
            <w:pStyle w:val="20"/>
            <w:tabs>
              <w:tab w:val="right" w:leader="dot" w:pos="8296"/>
            </w:tabs>
            <w:spacing w:line="360" w:lineRule="auto"/>
            <w:ind w:left="480"/>
            <w:rPr>
              <w:rFonts w:cs="Times New Roman"/>
              <w:color w:val="000000" w:themeColor="text1"/>
              <w:szCs w:val="24"/>
            </w:rPr>
          </w:pPr>
          <w:hyperlink w:anchor="_Toc146198222" w:history="1">
            <w:r w:rsidR="00343C0E">
              <w:rPr>
                <w:rStyle w:val="ac"/>
                <w:rFonts w:cs="Times New Roman"/>
                <w:color w:val="000000" w:themeColor="text1"/>
                <w:szCs w:val="24"/>
              </w:rPr>
              <w:t>一、本次发行后公司业务及资产、公司章程、股东结构、高管人员结构、业务结构的变动情况</w:t>
            </w:r>
            <w:r w:rsidR="00343C0E">
              <w:rPr>
                <w:rFonts w:cs="Times New Roman"/>
                <w:color w:val="000000" w:themeColor="text1"/>
                <w:szCs w:val="24"/>
              </w:rPr>
              <w:tab/>
            </w:r>
            <w:r w:rsidR="00343C0E">
              <w:rPr>
                <w:rFonts w:cs="Times New Roman"/>
                <w:color w:val="000000" w:themeColor="text1"/>
                <w:szCs w:val="24"/>
              </w:rPr>
              <w:fldChar w:fldCharType="begin"/>
            </w:r>
            <w:r w:rsidR="00343C0E">
              <w:rPr>
                <w:rFonts w:cs="Times New Roman"/>
                <w:color w:val="000000" w:themeColor="text1"/>
                <w:szCs w:val="24"/>
              </w:rPr>
              <w:instrText xml:space="preserve"> PAGEREF _Toc146198222 \h </w:instrText>
            </w:r>
            <w:r w:rsidR="00343C0E">
              <w:rPr>
                <w:rFonts w:cs="Times New Roman"/>
                <w:color w:val="000000" w:themeColor="text1"/>
                <w:szCs w:val="24"/>
              </w:rPr>
            </w:r>
            <w:r w:rsidR="00343C0E">
              <w:rPr>
                <w:rFonts w:cs="Times New Roman"/>
                <w:color w:val="000000" w:themeColor="text1"/>
                <w:szCs w:val="24"/>
              </w:rPr>
              <w:fldChar w:fldCharType="separate"/>
            </w:r>
            <w:r w:rsidR="00343C0E">
              <w:rPr>
                <w:rFonts w:cs="Times New Roman"/>
                <w:color w:val="000000" w:themeColor="text1"/>
                <w:szCs w:val="24"/>
              </w:rPr>
              <w:t>21</w:t>
            </w:r>
            <w:r w:rsidR="00343C0E">
              <w:rPr>
                <w:rFonts w:cs="Times New Roman"/>
                <w:color w:val="000000" w:themeColor="text1"/>
                <w:szCs w:val="24"/>
              </w:rPr>
              <w:fldChar w:fldCharType="end"/>
            </w:r>
          </w:hyperlink>
        </w:p>
        <w:p w:rsidR="003C3FCD" w:rsidRDefault="0054411B">
          <w:pPr>
            <w:pStyle w:val="20"/>
            <w:tabs>
              <w:tab w:val="right" w:leader="dot" w:pos="8296"/>
            </w:tabs>
            <w:spacing w:line="360" w:lineRule="auto"/>
            <w:ind w:left="480"/>
            <w:rPr>
              <w:rFonts w:cs="Times New Roman"/>
              <w:color w:val="000000" w:themeColor="text1"/>
              <w:szCs w:val="24"/>
            </w:rPr>
          </w:pPr>
          <w:hyperlink w:anchor="_Toc146198223" w:history="1">
            <w:r w:rsidR="00343C0E">
              <w:rPr>
                <w:rStyle w:val="ac"/>
                <w:rFonts w:cs="Times New Roman"/>
                <w:color w:val="000000" w:themeColor="text1"/>
                <w:szCs w:val="24"/>
              </w:rPr>
              <w:t>二、本次发行后公司财务状况、盈利能力和现金流量的变动情况</w:t>
            </w:r>
            <w:r w:rsidR="00343C0E">
              <w:rPr>
                <w:rFonts w:cs="Times New Roman"/>
                <w:color w:val="000000" w:themeColor="text1"/>
                <w:szCs w:val="24"/>
              </w:rPr>
              <w:tab/>
            </w:r>
            <w:r w:rsidR="00343C0E">
              <w:rPr>
                <w:rFonts w:cs="Times New Roman"/>
                <w:color w:val="000000" w:themeColor="text1"/>
                <w:szCs w:val="24"/>
              </w:rPr>
              <w:fldChar w:fldCharType="begin"/>
            </w:r>
            <w:r w:rsidR="00343C0E">
              <w:rPr>
                <w:rFonts w:cs="Times New Roman"/>
                <w:color w:val="000000" w:themeColor="text1"/>
                <w:szCs w:val="24"/>
              </w:rPr>
              <w:instrText xml:space="preserve"> PAGEREF _Toc146198223 \h </w:instrText>
            </w:r>
            <w:r w:rsidR="00343C0E">
              <w:rPr>
                <w:rFonts w:cs="Times New Roman"/>
                <w:color w:val="000000" w:themeColor="text1"/>
                <w:szCs w:val="24"/>
              </w:rPr>
            </w:r>
            <w:r w:rsidR="00343C0E">
              <w:rPr>
                <w:rFonts w:cs="Times New Roman"/>
                <w:color w:val="000000" w:themeColor="text1"/>
                <w:szCs w:val="24"/>
              </w:rPr>
              <w:fldChar w:fldCharType="separate"/>
            </w:r>
            <w:r w:rsidR="00343C0E">
              <w:rPr>
                <w:rFonts w:cs="Times New Roman"/>
                <w:color w:val="000000" w:themeColor="text1"/>
                <w:szCs w:val="24"/>
              </w:rPr>
              <w:t>22</w:t>
            </w:r>
            <w:r w:rsidR="00343C0E">
              <w:rPr>
                <w:rFonts w:cs="Times New Roman"/>
                <w:color w:val="000000" w:themeColor="text1"/>
                <w:szCs w:val="24"/>
              </w:rPr>
              <w:fldChar w:fldCharType="end"/>
            </w:r>
          </w:hyperlink>
        </w:p>
        <w:p w:rsidR="003C3FCD" w:rsidRDefault="0054411B">
          <w:pPr>
            <w:pStyle w:val="20"/>
            <w:tabs>
              <w:tab w:val="right" w:leader="dot" w:pos="8296"/>
            </w:tabs>
            <w:spacing w:line="360" w:lineRule="auto"/>
            <w:ind w:left="480"/>
            <w:rPr>
              <w:rFonts w:cs="Times New Roman"/>
              <w:color w:val="000000" w:themeColor="text1"/>
              <w:szCs w:val="24"/>
            </w:rPr>
          </w:pPr>
          <w:hyperlink w:anchor="_Toc146198224" w:history="1">
            <w:r w:rsidR="00343C0E">
              <w:rPr>
                <w:rStyle w:val="ac"/>
                <w:rFonts w:cs="Times New Roman"/>
                <w:color w:val="000000" w:themeColor="text1"/>
                <w:szCs w:val="24"/>
              </w:rPr>
              <w:t>三、本次发行后公司与控股股东及其关联人之间关系的变化情况</w:t>
            </w:r>
            <w:r w:rsidR="00343C0E">
              <w:rPr>
                <w:rFonts w:cs="Times New Roman"/>
                <w:color w:val="000000" w:themeColor="text1"/>
                <w:szCs w:val="24"/>
              </w:rPr>
              <w:tab/>
            </w:r>
            <w:r w:rsidR="00343C0E">
              <w:rPr>
                <w:rFonts w:cs="Times New Roman"/>
                <w:color w:val="000000" w:themeColor="text1"/>
                <w:szCs w:val="24"/>
              </w:rPr>
              <w:fldChar w:fldCharType="begin"/>
            </w:r>
            <w:r w:rsidR="00343C0E">
              <w:rPr>
                <w:rFonts w:cs="Times New Roman"/>
                <w:color w:val="000000" w:themeColor="text1"/>
                <w:szCs w:val="24"/>
              </w:rPr>
              <w:instrText xml:space="preserve"> PAGEREF _Toc146198224 \h </w:instrText>
            </w:r>
            <w:r w:rsidR="00343C0E">
              <w:rPr>
                <w:rFonts w:cs="Times New Roman"/>
                <w:color w:val="000000" w:themeColor="text1"/>
                <w:szCs w:val="24"/>
              </w:rPr>
            </w:r>
            <w:r w:rsidR="00343C0E">
              <w:rPr>
                <w:rFonts w:cs="Times New Roman"/>
                <w:color w:val="000000" w:themeColor="text1"/>
                <w:szCs w:val="24"/>
              </w:rPr>
              <w:fldChar w:fldCharType="separate"/>
            </w:r>
            <w:r w:rsidR="00343C0E">
              <w:rPr>
                <w:rFonts w:cs="Times New Roman"/>
                <w:color w:val="000000" w:themeColor="text1"/>
                <w:szCs w:val="24"/>
              </w:rPr>
              <w:t>23</w:t>
            </w:r>
            <w:r w:rsidR="00343C0E">
              <w:rPr>
                <w:rFonts w:cs="Times New Roman"/>
                <w:color w:val="000000" w:themeColor="text1"/>
                <w:szCs w:val="24"/>
              </w:rPr>
              <w:fldChar w:fldCharType="end"/>
            </w:r>
          </w:hyperlink>
        </w:p>
        <w:p w:rsidR="003C3FCD" w:rsidRDefault="0054411B">
          <w:pPr>
            <w:pStyle w:val="20"/>
            <w:tabs>
              <w:tab w:val="right" w:leader="dot" w:pos="8296"/>
            </w:tabs>
            <w:spacing w:line="360" w:lineRule="auto"/>
            <w:ind w:left="480"/>
            <w:rPr>
              <w:rFonts w:cs="Times New Roman"/>
              <w:color w:val="000000" w:themeColor="text1"/>
              <w:szCs w:val="24"/>
            </w:rPr>
          </w:pPr>
          <w:hyperlink w:anchor="_Toc146198225" w:history="1">
            <w:r w:rsidR="00343C0E">
              <w:rPr>
                <w:rStyle w:val="ac"/>
                <w:rFonts w:cs="Times New Roman"/>
                <w:color w:val="000000" w:themeColor="text1"/>
                <w:szCs w:val="24"/>
              </w:rPr>
              <w:t>四、本次发行后公司资金、资产占用及担保情形</w:t>
            </w:r>
            <w:r w:rsidR="00343C0E">
              <w:rPr>
                <w:rFonts w:cs="Times New Roman"/>
                <w:color w:val="000000" w:themeColor="text1"/>
                <w:szCs w:val="24"/>
              </w:rPr>
              <w:tab/>
            </w:r>
            <w:r w:rsidR="00343C0E">
              <w:rPr>
                <w:rFonts w:cs="Times New Roman"/>
                <w:color w:val="000000" w:themeColor="text1"/>
                <w:szCs w:val="24"/>
              </w:rPr>
              <w:fldChar w:fldCharType="begin"/>
            </w:r>
            <w:r w:rsidR="00343C0E">
              <w:rPr>
                <w:rFonts w:cs="Times New Roman"/>
                <w:color w:val="000000" w:themeColor="text1"/>
                <w:szCs w:val="24"/>
              </w:rPr>
              <w:instrText xml:space="preserve"> PAGEREF _Toc146198225 \h </w:instrText>
            </w:r>
            <w:r w:rsidR="00343C0E">
              <w:rPr>
                <w:rFonts w:cs="Times New Roman"/>
                <w:color w:val="000000" w:themeColor="text1"/>
                <w:szCs w:val="24"/>
              </w:rPr>
            </w:r>
            <w:r w:rsidR="00343C0E">
              <w:rPr>
                <w:rFonts w:cs="Times New Roman"/>
                <w:color w:val="000000" w:themeColor="text1"/>
                <w:szCs w:val="24"/>
              </w:rPr>
              <w:fldChar w:fldCharType="separate"/>
            </w:r>
            <w:r w:rsidR="00343C0E">
              <w:rPr>
                <w:rFonts w:cs="Times New Roman"/>
                <w:color w:val="000000" w:themeColor="text1"/>
                <w:szCs w:val="24"/>
              </w:rPr>
              <w:t>23</w:t>
            </w:r>
            <w:r w:rsidR="00343C0E">
              <w:rPr>
                <w:rFonts w:cs="Times New Roman"/>
                <w:color w:val="000000" w:themeColor="text1"/>
                <w:szCs w:val="24"/>
              </w:rPr>
              <w:fldChar w:fldCharType="end"/>
            </w:r>
          </w:hyperlink>
        </w:p>
        <w:p w:rsidR="003C3FCD" w:rsidRDefault="0054411B">
          <w:pPr>
            <w:pStyle w:val="20"/>
            <w:tabs>
              <w:tab w:val="right" w:leader="dot" w:pos="8296"/>
            </w:tabs>
            <w:spacing w:line="360" w:lineRule="auto"/>
            <w:ind w:left="480"/>
            <w:rPr>
              <w:rFonts w:cs="Times New Roman"/>
              <w:color w:val="000000" w:themeColor="text1"/>
              <w:szCs w:val="24"/>
            </w:rPr>
          </w:pPr>
          <w:hyperlink w:anchor="_Toc146198226" w:history="1">
            <w:r w:rsidR="00343C0E">
              <w:rPr>
                <w:rStyle w:val="ac"/>
                <w:rFonts w:cs="Times New Roman"/>
                <w:color w:val="000000" w:themeColor="text1"/>
                <w:szCs w:val="24"/>
              </w:rPr>
              <w:t>五、本次发行后公司负债水平的变化情况</w:t>
            </w:r>
            <w:r w:rsidR="00343C0E">
              <w:rPr>
                <w:rFonts w:cs="Times New Roman"/>
                <w:color w:val="000000" w:themeColor="text1"/>
                <w:szCs w:val="24"/>
              </w:rPr>
              <w:tab/>
            </w:r>
            <w:r w:rsidR="00343C0E">
              <w:rPr>
                <w:rFonts w:cs="Times New Roman"/>
                <w:color w:val="000000" w:themeColor="text1"/>
                <w:szCs w:val="24"/>
              </w:rPr>
              <w:fldChar w:fldCharType="begin"/>
            </w:r>
            <w:r w:rsidR="00343C0E">
              <w:rPr>
                <w:rFonts w:cs="Times New Roman"/>
                <w:color w:val="000000" w:themeColor="text1"/>
                <w:szCs w:val="24"/>
              </w:rPr>
              <w:instrText xml:space="preserve"> PAGEREF _Toc146198226 \h </w:instrText>
            </w:r>
            <w:r w:rsidR="00343C0E">
              <w:rPr>
                <w:rFonts w:cs="Times New Roman"/>
                <w:color w:val="000000" w:themeColor="text1"/>
                <w:szCs w:val="24"/>
              </w:rPr>
            </w:r>
            <w:r w:rsidR="00343C0E">
              <w:rPr>
                <w:rFonts w:cs="Times New Roman"/>
                <w:color w:val="000000" w:themeColor="text1"/>
                <w:szCs w:val="24"/>
              </w:rPr>
              <w:fldChar w:fldCharType="separate"/>
            </w:r>
            <w:r w:rsidR="00343C0E">
              <w:rPr>
                <w:rFonts w:cs="Times New Roman"/>
                <w:color w:val="000000" w:themeColor="text1"/>
                <w:szCs w:val="24"/>
              </w:rPr>
              <w:t>24</w:t>
            </w:r>
            <w:r w:rsidR="00343C0E">
              <w:rPr>
                <w:rFonts w:cs="Times New Roman"/>
                <w:color w:val="000000" w:themeColor="text1"/>
                <w:szCs w:val="24"/>
              </w:rPr>
              <w:fldChar w:fldCharType="end"/>
            </w:r>
          </w:hyperlink>
        </w:p>
        <w:p w:rsidR="003C3FCD" w:rsidRDefault="0054411B">
          <w:pPr>
            <w:pStyle w:val="20"/>
            <w:tabs>
              <w:tab w:val="right" w:leader="dot" w:pos="8296"/>
            </w:tabs>
            <w:spacing w:line="360" w:lineRule="auto"/>
            <w:ind w:left="480"/>
            <w:rPr>
              <w:rFonts w:cs="Times New Roman"/>
              <w:color w:val="000000" w:themeColor="text1"/>
              <w:szCs w:val="24"/>
            </w:rPr>
          </w:pPr>
          <w:hyperlink w:anchor="_Toc146198227" w:history="1">
            <w:r w:rsidR="00343C0E">
              <w:rPr>
                <w:rStyle w:val="ac"/>
                <w:rFonts w:cs="Times New Roman"/>
                <w:color w:val="000000" w:themeColor="text1"/>
                <w:szCs w:val="24"/>
              </w:rPr>
              <w:t>六、本次股票发行相关的风险说明</w:t>
            </w:r>
            <w:r w:rsidR="00343C0E">
              <w:rPr>
                <w:rFonts w:cs="Times New Roman"/>
                <w:color w:val="000000" w:themeColor="text1"/>
                <w:szCs w:val="24"/>
              </w:rPr>
              <w:tab/>
            </w:r>
            <w:r w:rsidR="00343C0E">
              <w:rPr>
                <w:rFonts w:cs="Times New Roman"/>
                <w:color w:val="000000" w:themeColor="text1"/>
                <w:szCs w:val="24"/>
              </w:rPr>
              <w:fldChar w:fldCharType="begin"/>
            </w:r>
            <w:r w:rsidR="00343C0E">
              <w:rPr>
                <w:rFonts w:cs="Times New Roman"/>
                <w:color w:val="000000" w:themeColor="text1"/>
                <w:szCs w:val="24"/>
              </w:rPr>
              <w:instrText xml:space="preserve"> PAGEREF _Toc146198227 \h </w:instrText>
            </w:r>
            <w:r w:rsidR="00343C0E">
              <w:rPr>
                <w:rFonts w:cs="Times New Roman"/>
                <w:color w:val="000000" w:themeColor="text1"/>
                <w:szCs w:val="24"/>
              </w:rPr>
            </w:r>
            <w:r w:rsidR="00343C0E">
              <w:rPr>
                <w:rFonts w:cs="Times New Roman"/>
                <w:color w:val="000000" w:themeColor="text1"/>
                <w:szCs w:val="24"/>
              </w:rPr>
              <w:fldChar w:fldCharType="separate"/>
            </w:r>
            <w:r w:rsidR="00343C0E">
              <w:rPr>
                <w:rFonts w:cs="Times New Roman"/>
                <w:color w:val="000000" w:themeColor="text1"/>
                <w:szCs w:val="24"/>
              </w:rPr>
              <w:t>24</w:t>
            </w:r>
            <w:r w:rsidR="00343C0E">
              <w:rPr>
                <w:rFonts w:cs="Times New Roman"/>
                <w:color w:val="000000" w:themeColor="text1"/>
                <w:szCs w:val="24"/>
              </w:rPr>
              <w:fldChar w:fldCharType="end"/>
            </w:r>
          </w:hyperlink>
        </w:p>
        <w:p w:rsidR="003C3FCD" w:rsidRDefault="0054411B">
          <w:pPr>
            <w:pStyle w:val="10"/>
            <w:spacing w:line="360" w:lineRule="auto"/>
            <w:rPr>
              <w:rFonts w:cs="Times New Roman"/>
              <w:color w:val="000000" w:themeColor="text1"/>
              <w:szCs w:val="24"/>
            </w:rPr>
          </w:pPr>
          <w:hyperlink w:anchor="_Toc146198228" w:history="1">
            <w:r w:rsidR="00343C0E">
              <w:rPr>
                <w:rStyle w:val="ac"/>
                <w:rFonts w:cs="Times New Roman"/>
                <w:color w:val="000000" w:themeColor="text1"/>
                <w:szCs w:val="24"/>
              </w:rPr>
              <w:t>第四节</w:t>
            </w:r>
            <w:r w:rsidR="00343C0E">
              <w:rPr>
                <w:rStyle w:val="ac"/>
                <w:rFonts w:cs="Times New Roman"/>
                <w:color w:val="000000" w:themeColor="text1"/>
                <w:szCs w:val="24"/>
              </w:rPr>
              <w:t xml:space="preserve"> </w:t>
            </w:r>
            <w:r w:rsidR="00343C0E">
              <w:rPr>
                <w:rStyle w:val="ac"/>
                <w:rFonts w:cs="Times New Roman"/>
                <w:color w:val="000000" w:themeColor="text1"/>
                <w:szCs w:val="24"/>
              </w:rPr>
              <w:t>公司的利润分配政策及执行情况</w:t>
            </w:r>
            <w:r w:rsidR="00343C0E">
              <w:rPr>
                <w:rFonts w:cs="Times New Roman"/>
                <w:color w:val="000000" w:themeColor="text1"/>
                <w:szCs w:val="24"/>
              </w:rPr>
              <w:tab/>
            </w:r>
            <w:r w:rsidR="00343C0E">
              <w:rPr>
                <w:rFonts w:cs="Times New Roman"/>
                <w:color w:val="000000" w:themeColor="text1"/>
                <w:szCs w:val="24"/>
              </w:rPr>
              <w:fldChar w:fldCharType="begin"/>
            </w:r>
            <w:r w:rsidR="00343C0E">
              <w:rPr>
                <w:rFonts w:cs="Times New Roman"/>
                <w:color w:val="000000" w:themeColor="text1"/>
                <w:szCs w:val="24"/>
              </w:rPr>
              <w:instrText xml:space="preserve"> PAGEREF _Toc146198228 \h </w:instrText>
            </w:r>
            <w:r w:rsidR="00343C0E">
              <w:rPr>
                <w:rFonts w:cs="Times New Roman"/>
                <w:color w:val="000000" w:themeColor="text1"/>
                <w:szCs w:val="24"/>
              </w:rPr>
            </w:r>
            <w:r w:rsidR="00343C0E">
              <w:rPr>
                <w:rFonts w:cs="Times New Roman"/>
                <w:color w:val="000000" w:themeColor="text1"/>
                <w:szCs w:val="24"/>
              </w:rPr>
              <w:fldChar w:fldCharType="separate"/>
            </w:r>
            <w:r w:rsidR="00343C0E">
              <w:rPr>
                <w:rFonts w:cs="Times New Roman"/>
                <w:color w:val="000000" w:themeColor="text1"/>
                <w:szCs w:val="24"/>
              </w:rPr>
              <w:t>27</w:t>
            </w:r>
            <w:r w:rsidR="00343C0E">
              <w:rPr>
                <w:rFonts w:cs="Times New Roman"/>
                <w:color w:val="000000" w:themeColor="text1"/>
                <w:szCs w:val="24"/>
              </w:rPr>
              <w:fldChar w:fldCharType="end"/>
            </w:r>
          </w:hyperlink>
        </w:p>
        <w:p w:rsidR="003C3FCD" w:rsidRDefault="0054411B">
          <w:pPr>
            <w:pStyle w:val="20"/>
            <w:tabs>
              <w:tab w:val="right" w:leader="dot" w:pos="8296"/>
            </w:tabs>
            <w:spacing w:line="360" w:lineRule="auto"/>
            <w:ind w:left="480"/>
            <w:rPr>
              <w:rFonts w:cs="Times New Roman"/>
              <w:color w:val="000000" w:themeColor="text1"/>
              <w:szCs w:val="24"/>
            </w:rPr>
          </w:pPr>
          <w:hyperlink w:anchor="_Toc146198229" w:history="1">
            <w:r w:rsidR="00343C0E">
              <w:rPr>
                <w:rStyle w:val="ac"/>
                <w:rFonts w:cs="Times New Roman"/>
                <w:color w:val="000000" w:themeColor="text1"/>
                <w:szCs w:val="24"/>
              </w:rPr>
              <w:t>一、公司利润分配政策</w:t>
            </w:r>
            <w:r w:rsidR="00343C0E">
              <w:rPr>
                <w:rFonts w:cs="Times New Roman"/>
                <w:color w:val="000000" w:themeColor="text1"/>
                <w:szCs w:val="24"/>
              </w:rPr>
              <w:tab/>
            </w:r>
            <w:r w:rsidR="00343C0E">
              <w:rPr>
                <w:rFonts w:cs="Times New Roman"/>
                <w:color w:val="000000" w:themeColor="text1"/>
                <w:szCs w:val="24"/>
              </w:rPr>
              <w:fldChar w:fldCharType="begin"/>
            </w:r>
            <w:r w:rsidR="00343C0E">
              <w:rPr>
                <w:rFonts w:cs="Times New Roman"/>
                <w:color w:val="000000" w:themeColor="text1"/>
                <w:szCs w:val="24"/>
              </w:rPr>
              <w:instrText xml:space="preserve"> PAGEREF _Toc146198229 \h </w:instrText>
            </w:r>
            <w:r w:rsidR="00343C0E">
              <w:rPr>
                <w:rFonts w:cs="Times New Roman"/>
                <w:color w:val="000000" w:themeColor="text1"/>
                <w:szCs w:val="24"/>
              </w:rPr>
            </w:r>
            <w:r w:rsidR="00343C0E">
              <w:rPr>
                <w:rFonts w:cs="Times New Roman"/>
                <w:color w:val="000000" w:themeColor="text1"/>
                <w:szCs w:val="24"/>
              </w:rPr>
              <w:fldChar w:fldCharType="separate"/>
            </w:r>
            <w:r w:rsidR="00343C0E">
              <w:rPr>
                <w:rFonts w:cs="Times New Roman"/>
                <w:color w:val="000000" w:themeColor="text1"/>
                <w:szCs w:val="24"/>
              </w:rPr>
              <w:t>27</w:t>
            </w:r>
            <w:r w:rsidR="00343C0E">
              <w:rPr>
                <w:rFonts w:cs="Times New Roman"/>
                <w:color w:val="000000" w:themeColor="text1"/>
                <w:szCs w:val="24"/>
              </w:rPr>
              <w:fldChar w:fldCharType="end"/>
            </w:r>
          </w:hyperlink>
        </w:p>
        <w:p w:rsidR="003C3FCD" w:rsidRDefault="0054411B">
          <w:pPr>
            <w:pStyle w:val="20"/>
            <w:tabs>
              <w:tab w:val="right" w:leader="dot" w:pos="8296"/>
            </w:tabs>
            <w:spacing w:line="360" w:lineRule="auto"/>
            <w:ind w:left="480"/>
            <w:rPr>
              <w:rFonts w:cs="Times New Roman"/>
              <w:color w:val="000000" w:themeColor="text1"/>
              <w:szCs w:val="24"/>
            </w:rPr>
          </w:pPr>
          <w:hyperlink w:anchor="_Toc146198230" w:history="1">
            <w:r w:rsidR="00343C0E">
              <w:rPr>
                <w:rStyle w:val="ac"/>
                <w:rFonts w:cs="Times New Roman"/>
                <w:color w:val="000000" w:themeColor="text1"/>
                <w:szCs w:val="24"/>
              </w:rPr>
              <w:t>二、公司最近三年现金分红及未分配利润使用情况</w:t>
            </w:r>
            <w:r w:rsidR="00343C0E">
              <w:rPr>
                <w:rFonts w:cs="Times New Roman"/>
                <w:color w:val="000000" w:themeColor="text1"/>
                <w:szCs w:val="24"/>
              </w:rPr>
              <w:tab/>
            </w:r>
            <w:r w:rsidR="00343C0E">
              <w:rPr>
                <w:rFonts w:cs="Times New Roman"/>
                <w:color w:val="000000" w:themeColor="text1"/>
                <w:szCs w:val="24"/>
              </w:rPr>
              <w:fldChar w:fldCharType="begin"/>
            </w:r>
            <w:r w:rsidR="00343C0E">
              <w:rPr>
                <w:rFonts w:cs="Times New Roman"/>
                <w:color w:val="000000" w:themeColor="text1"/>
                <w:szCs w:val="24"/>
              </w:rPr>
              <w:instrText xml:space="preserve"> PAGEREF _Toc146198230 \h </w:instrText>
            </w:r>
            <w:r w:rsidR="00343C0E">
              <w:rPr>
                <w:rFonts w:cs="Times New Roman"/>
                <w:color w:val="000000" w:themeColor="text1"/>
                <w:szCs w:val="24"/>
              </w:rPr>
            </w:r>
            <w:r w:rsidR="00343C0E">
              <w:rPr>
                <w:rFonts w:cs="Times New Roman"/>
                <w:color w:val="000000" w:themeColor="text1"/>
                <w:szCs w:val="24"/>
              </w:rPr>
              <w:fldChar w:fldCharType="separate"/>
            </w:r>
            <w:r w:rsidR="00343C0E">
              <w:rPr>
                <w:rFonts w:cs="Times New Roman"/>
                <w:color w:val="000000" w:themeColor="text1"/>
                <w:szCs w:val="24"/>
              </w:rPr>
              <w:t>31</w:t>
            </w:r>
            <w:r w:rsidR="00343C0E">
              <w:rPr>
                <w:rFonts w:cs="Times New Roman"/>
                <w:color w:val="000000" w:themeColor="text1"/>
                <w:szCs w:val="24"/>
              </w:rPr>
              <w:fldChar w:fldCharType="end"/>
            </w:r>
          </w:hyperlink>
        </w:p>
        <w:p w:rsidR="003C3FCD" w:rsidRDefault="0054411B">
          <w:pPr>
            <w:pStyle w:val="20"/>
            <w:tabs>
              <w:tab w:val="right" w:leader="dot" w:pos="8296"/>
            </w:tabs>
            <w:spacing w:line="360" w:lineRule="auto"/>
            <w:ind w:left="480"/>
            <w:rPr>
              <w:rFonts w:cs="Times New Roman"/>
              <w:color w:val="000000" w:themeColor="text1"/>
              <w:szCs w:val="24"/>
            </w:rPr>
          </w:pPr>
          <w:hyperlink w:anchor="_Toc146198231" w:history="1">
            <w:r w:rsidR="00343C0E">
              <w:rPr>
                <w:rStyle w:val="ac"/>
                <w:rFonts w:cs="Times New Roman"/>
                <w:color w:val="000000" w:themeColor="text1"/>
                <w:szCs w:val="24"/>
              </w:rPr>
              <w:t>三、未来三年（</w:t>
            </w:r>
            <w:r w:rsidR="00343C0E">
              <w:rPr>
                <w:rStyle w:val="ac"/>
                <w:rFonts w:cs="Times New Roman"/>
                <w:color w:val="000000" w:themeColor="text1"/>
                <w:szCs w:val="24"/>
              </w:rPr>
              <w:t>2023-2025</w:t>
            </w:r>
            <w:r w:rsidR="00343C0E">
              <w:rPr>
                <w:rStyle w:val="ac"/>
                <w:rFonts w:cs="Times New Roman"/>
                <w:color w:val="000000" w:themeColor="text1"/>
                <w:szCs w:val="24"/>
              </w:rPr>
              <w:t>年）股东回报规划</w:t>
            </w:r>
            <w:r w:rsidR="00343C0E">
              <w:rPr>
                <w:rFonts w:cs="Times New Roman"/>
                <w:color w:val="000000" w:themeColor="text1"/>
                <w:szCs w:val="24"/>
              </w:rPr>
              <w:tab/>
            </w:r>
            <w:r w:rsidR="00343C0E">
              <w:rPr>
                <w:rFonts w:cs="Times New Roman"/>
                <w:color w:val="000000" w:themeColor="text1"/>
                <w:szCs w:val="24"/>
              </w:rPr>
              <w:fldChar w:fldCharType="begin"/>
            </w:r>
            <w:r w:rsidR="00343C0E">
              <w:rPr>
                <w:rFonts w:cs="Times New Roman"/>
                <w:color w:val="000000" w:themeColor="text1"/>
                <w:szCs w:val="24"/>
              </w:rPr>
              <w:instrText xml:space="preserve"> PAGEREF _Toc146198231 \h </w:instrText>
            </w:r>
            <w:r w:rsidR="00343C0E">
              <w:rPr>
                <w:rFonts w:cs="Times New Roman"/>
                <w:color w:val="000000" w:themeColor="text1"/>
                <w:szCs w:val="24"/>
              </w:rPr>
            </w:r>
            <w:r w:rsidR="00343C0E">
              <w:rPr>
                <w:rFonts w:cs="Times New Roman"/>
                <w:color w:val="000000" w:themeColor="text1"/>
                <w:szCs w:val="24"/>
              </w:rPr>
              <w:fldChar w:fldCharType="separate"/>
            </w:r>
            <w:r w:rsidR="00343C0E">
              <w:rPr>
                <w:rFonts w:cs="Times New Roman"/>
                <w:color w:val="000000" w:themeColor="text1"/>
                <w:szCs w:val="24"/>
              </w:rPr>
              <w:t>31</w:t>
            </w:r>
            <w:r w:rsidR="00343C0E">
              <w:rPr>
                <w:rFonts w:cs="Times New Roman"/>
                <w:color w:val="000000" w:themeColor="text1"/>
                <w:szCs w:val="24"/>
              </w:rPr>
              <w:fldChar w:fldCharType="end"/>
            </w:r>
          </w:hyperlink>
        </w:p>
        <w:p w:rsidR="003C3FCD" w:rsidRDefault="0054411B">
          <w:pPr>
            <w:pStyle w:val="10"/>
            <w:spacing w:line="360" w:lineRule="auto"/>
            <w:rPr>
              <w:rFonts w:cs="Times New Roman"/>
              <w:color w:val="000000" w:themeColor="text1"/>
              <w:szCs w:val="24"/>
            </w:rPr>
          </w:pPr>
          <w:hyperlink w:anchor="_Toc146198232" w:history="1">
            <w:r w:rsidR="00343C0E">
              <w:rPr>
                <w:rStyle w:val="ac"/>
                <w:rFonts w:cs="Times New Roman"/>
                <w:color w:val="000000" w:themeColor="text1"/>
                <w:szCs w:val="24"/>
              </w:rPr>
              <w:t>第五节</w:t>
            </w:r>
            <w:r w:rsidR="00343C0E">
              <w:rPr>
                <w:rStyle w:val="ac"/>
                <w:rFonts w:cs="Times New Roman"/>
                <w:color w:val="000000" w:themeColor="text1"/>
                <w:szCs w:val="24"/>
              </w:rPr>
              <w:t xml:space="preserve"> </w:t>
            </w:r>
            <w:r w:rsidR="00343C0E">
              <w:rPr>
                <w:rStyle w:val="ac"/>
                <w:rFonts w:cs="Times New Roman"/>
                <w:color w:val="000000" w:themeColor="text1"/>
                <w:szCs w:val="24"/>
              </w:rPr>
              <w:t>本次发行股票摊薄即期回报分析</w:t>
            </w:r>
            <w:r w:rsidR="00343C0E">
              <w:rPr>
                <w:rFonts w:cs="Times New Roman"/>
                <w:color w:val="000000" w:themeColor="text1"/>
                <w:szCs w:val="24"/>
              </w:rPr>
              <w:tab/>
            </w:r>
            <w:r w:rsidR="00343C0E">
              <w:rPr>
                <w:rFonts w:cs="Times New Roman"/>
                <w:color w:val="000000" w:themeColor="text1"/>
                <w:szCs w:val="24"/>
              </w:rPr>
              <w:fldChar w:fldCharType="begin"/>
            </w:r>
            <w:r w:rsidR="00343C0E">
              <w:rPr>
                <w:rFonts w:cs="Times New Roman"/>
                <w:color w:val="000000" w:themeColor="text1"/>
                <w:szCs w:val="24"/>
              </w:rPr>
              <w:instrText xml:space="preserve"> PAGEREF _Toc146198232 \h </w:instrText>
            </w:r>
            <w:r w:rsidR="00343C0E">
              <w:rPr>
                <w:rFonts w:cs="Times New Roman"/>
                <w:color w:val="000000" w:themeColor="text1"/>
                <w:szCs w:val="24"/>
              </w:rPr>
            </w:r>
            <w:r w:rsidR="00343C0E">
              <w:rPr>
                <w:rFonts w:cs="Times New Roman"/>
                <w:color w:val="000000" w:themeColor="text1"/>
                <w:szCs w:val="24"/>
              </w:rPr>
              <w:fldChar w:fldCharType="separate"/>
            </w:r>
            <w:r w:rsidR="00343C0E">
              <w:rPr>
                <w:rFonts w:cs="Times New Roman"/>
                <w:color w:val="000000" w:themeColor="text1"/>
                <w:szCs w:val="24"/>
              </w:rPr>
              <w:t>37</w:t>
            </w:r>
            <w:r w:rsidR="00343C0E">
              <w:rPr>
                <w:rFonts w:cs="Times New Roman"/>
                <w:color w:val="000000" w:themeColor="text1"/>
                <w:szCs w:val="24"/>
              </w:rPr>
              <w:fldChar w:fldCharType="end"/>
            </w:r>
          </w:hyperlink>
        </w:p>
        <w:p w:rsidR="003C3FCD" w:rsidRDefault="0054411B">
          <w:pPr>
            <w:pStyle w:val="20"/>
            <w:tabs>
              <w:tab w:val="right" w:leader="dot" w:pos="8296"/>
            </w:tabs>
            <w:spacing w:line="360" w:lineRule="auto"/>
            <w:ind w:left="480"/>
            <w:rPr>
              <w:rFonts w:cs="Times New Roman"/>
              <w:color w:val="000000" w:themeColor="text1"/>
              <w:szCs w:val="24"/>
            </w:rPr>
          </w:pPr>
          <w:hyperlink w:anchor="_Toc146198233" w:history="1">
            <w:r w:rsidR="00343C0E">
              <w:rPr>
                <w:rStyle w:val="ac"/>
                <w:rFonts w:cs="Times New Roman"/>
                <w:color w:val="000000" w:themeColor="text1"/>
                <w:szCs w:val="24"/>
              </w:rPr>
              <w:t>一、本次发行摊薄即期回报对公司主要财务指标的影响</w:t>
            </w:r>
            <w:r w:rsidR="00343C0E">
              <w:rPr>
                <w:rFonts w:cs="Times New Roman"/>
                <w:color w:val="000000" w:themeColor="text1"/>
                <w:szCs w:val="24"/>
              </w:rPr>
              <w:tab/>
            </w:r>
            <w:r w:rsidR="00343C0E">
              <w:rPr>
                <w:rFonts w:cs="Times New Roman"/>
                <w:color w:val="000000" w:themeColor="text1"/>
                <w:szCs w:val="24"/>
              </w:rPr>
              <w:fldChar w:fldCharType="begin"/>
            </w:r>
            <w:r w:rsidR="00343C0E">
              <w:rPr>
                <w:rFonts w:cs="Times New Roman"/>
                <w:color w:val="000000" w:themeColor="text1"/>
                <w:szCs w:val="24"/>
              </w:rPr>
              <w:instrText xml:space="preserve"> PAGEREF _Toc146198233 \h </w:instrText>
            </w:r>
            <w:r w:rsidR="00343C0E">
              <w:rPr>
                <w:rFonts w:cs="Times New Roman"/>
                <w:color w:val="000000" w:themeColor="text1"/>
                <w:szCs w:val="24"/>
              </w:rPr>
            </w:r>
            <w:r w:rsidR="00343C0E">
              <w:rPr>
                <w:rFonts w:cs="Times New Roman"/>
                <w:color w:val="000000" w:themeColor="text1"/>
                <w:szCs w:val="24"/>
              </w:rPr>
              <w:fldChar w:fldCharType="separate"/>
            </w:r>
            <w:r w:rsidR="00343C0E">
              <w:rPr>
                <w:rFonts w:cs="Times New Roman"/>
                <w:color w:val="000000" w:themeColor="text1"/>
                <w:szCs w:val="24"/>
              </w:rPr>
              <w:t>37</w:t>
            </w:r>
            <w:r w:rsidR="00343C0E">
              <w:rPr>
                <w:rFonts w:cs="Times New Roman"/>
                <w:color w:val="000000" w:themeColor="text1"/>
                <w:szCs w:val="24"/>
              </w:rPr>
              <w:fldChar w:fldCharType="end"/>
            </w:r>
          </w:hyperlink>
        </w:p>
        <w:p w:rsidR="003C3FCD" w:rsidRDefault="0054411B">
          <w:pPr>
            <w:pStyle w:val="20"/>
            <w:tabs>
              <w:tab w:val="right" w:leader="dot" w:pos="8296"/>
            </w:tabs>
            <w:spacing w:line="360" w:lineRule="auto"/>
            <w:ind w:left="480"/>
            <w:rPr>
              <w:rFonts w:cs="Times New Roman"/>
              <w:color w:val="000000" w:themeColor="text1"/>
              <w:szCs w:val="24"/>
            </w:rPr>
          </w:pPr>
          <w:hyperlink w:anchor="_Toc146198234" w:history="1">
            <w:r w:rsidR="00343C0E">
              <w:rPr>
                <w:rStyle w:val="ac"/>
                <w:rFonts w:cs="Times New Roman"/>
                <w:color w:val="000000" w:themeColor="text1"/>
                <w:szCs w:val="24"/>
              </w:rPr>
              <w:t>二、关于本次发行股票摊薄即期回报的特别风险提示</w:t>
            </w:r>
            <w:r w:rsidR="00343C0E">
              <w:rPr>
                <w:rFonts w:cs="Times New Roman"/>
                <w:color w:val="000000" w:themeColor="text1"/>
                <w:szCs w:val="24"/>
              </w:rPr>
              <w:tab/>
            </w:r>
            <w:r w:rsidR="00343C0E">
              <w:rPr>
                <w:rFonts w:cs="Times New Roman"/>
                <w:color w:val="000000" w:themeColor="text1"/>
                <w:szCs w:val="24"/>
              </w:rPr>
              <w:fldChar w:fldCharType="begin"/>
            </w:r>
            <w:r w:rsidR="00343C0E">
              <w:rPr>
                <w:rFonts w:cs="Times New Roman"/>
                <w:color w:val="000000" w:themeColor="text1"/>
                <w:szCs w:val="24"/>
              </w:rPr>
              <w:instrText xml:space="preserve"> PAGEREF _Toc146198234 \h </w:instrText>
            </w:r>
            <w:r w:rsidR="00343C0E">
              <w:rPr>
                <w:rFonts w:cs="Times New Roman"/>
                <w:color w:val="000000" w:themeColor="text1"/>
                <w:szCs w:val="24"/>
              </w:rPr>
            </w:r>
            <w:r w:rsidR="00343C0E">
              <w:rPr>
                <w:rFonts w:cs="Times New Roman"/>
                <w:color w:val="000000" w:themeColor="text1"/>
                <w:szCs w:val="24"/>
              </w:rPr>
              <w:fldChar w:fldCharType="separate"/>
            </w:r>
            <w:r w:rsidR="00343C0E">
              <w:rPr>
                <w:rFonts w:cs="Times New Roman"/>
                <w:color w:val="000000" w:themeColor="text1"/>
                <w:szCs w:val="24"/>
              </w:rPr>
              <w:t>39</w:t>
            </w:r>
            <w:r w:rsidR="00343C0E">
              <w:rPr>
                <w:rFonts w:cs="Times New Roman"/>
                <w:color w:val="000000" w:themeColor="text1"/>
                <w:szCs w:val="24"/>
              </w:rPr>
              <w:fldChar w:fldCharType="end"/>
            </w:r>
          </w:hyperlink>
        </w:p>
        <w:p w:rsidR="003C3FCD" w:rsidRDefault="0054411B">
          <w:pPr>
            <w:pStyle w:val="20"/>
            <w:tabs>
              <w:tab w:val="right" w:leader="dot" w:pos="8296"/>
            </w:tabs>
            <w:spacing w:line="360" w:lineRule="auto"/>
            <w:ind w:left="480"/>
            <w:rPr>
              <w:rFonts w:cs="Times New Roman"/>
              <w:color w:val="000000" w:themeColor="text1"/>
              <w:szCs w:val="24"/>
            </w:rPr>
          </w:pPr>
          <w:hyperlink w:anchor="_Toc146198235" w:history="1">
            <w:r w:rsidR="00343C0E">
              <w:rPr>
                <w:rStyle w:val="ac"/>
                <w:rFonts w:cs="Times New Roman"/>
                <w:color w:val="000000" w:themeColor="text1"/>
                <w:szCs w:val="24"/>
              </w:rPr>
              <w:t>三、本次发行的必要性和合理性</w:t>
            </w:r>
            <w:r w:rsidR="00343C0E">
              <w:rPr>
                <w:rFonts w:cs="Times New Roman"/>
                <w:color w:val="000000" w:themeColor="text1"/>
                <w:szCs w:val="24"/>
              </w:rPr>
              <w:tab/>
            </w:r>
            <w:r w:rsidR="00343C0E">
              <w:rPr>
                <w:rFonts w:cs="Times New Roman"/>
                <w:color w:val="000000" w:themeColor="text1"/>
                <w:szCs w:val="24"/>
              </w:rPr>
              <w:fldChar w:fldCharType="begin"/>
            </w:r>
            <w:r w:rsidR="00343C0E">
              <w:rPr>
                <w:rFonts w:cs="Times New Roman"/>
                <w:color w:val="000000" w:themeColor="text1"/>
                <w:szCs w:val="24"/>
              </w:rPr>
              <w:instrText xml:space="preserve"> PAGEREF _Toc146198235 \h </w:instrText>
            </w:r>
            <w:r w:rsidR="00343C0E">
              <w:rPr>
                <w:rFonts w:cs="Times New Roman"/>
                <w:color w:val="000000" w:themeColor="text1"/>
                <w:szCs w:val="24"/>
              </w:rPr>
            </w:r>
            <w:r w:rsidR="00343C0E">
              <w:rPr>
                <w:rFonts w:cs="Times New Roman"/>
                <w:color w:val="000000" w:themeColor="text1"/>
                <w:szCs w:val="24"/>
              </w:rPr>
              <w:fldChar w:fldCharType="separate"/>
            </w:r>
            <w:r w:rsidR="00343C0E">
              <w:rPr>
                <w:rFonts w:cs="Times New Roman"/>
                <w:color w:val="000000" w:themeColor="text1"/>
                <w:szCs w:val="24"/>
              </w:rPr>
              <w:t>39</w:t>
            </w:r>
            <w:r w:rsidR="00343C0E">
              <w:rPr>
                <w:rFonts w:cs="Times New Roman"/>
                <w:color w:val="000000" w:themeColor="text1"/>
                <w:szCs w:val="24"/>
              </w:rPr>
              <w:fldChar w:fldCharType="end"/>
            </w:r>
          </w:hyperlink>
        </w:p>
        <w:p w:rsidR="003C3FCD" w:rsidRDefault="0054411B">
          <w:pPr>
            <w:pStyle w:val="20"/>
            <w:tabs>
              <w:tab w:val="right" w:leader="dot" w:pos="8296"/>
            </w:tabs>
            <w:spacing w:line="360" w:lineRule="auto"/>
            <w:ind w:left="480"/>
            <w:rPr>
              <w:rFonts w:cs="Times New Roman"/>
              <w:color w:val="000000" w:themeColor="text1"/>
              <w:szCs w:val="24"/>
            </w:rPr>
          </w:pPr>
          <w:hyperlink w:anchor="_Toc146198236" w:history="1">
            <w:r w:rsidR="00343C0E">
              <w:rPr>
                <w:rStyle w:val="ac"/>
                <w:rFonts w:cs="Times New Roman"/>
                <w:color w:val="000000" w:themeColor="text1"/>
                <w:szCs w:val="24"/>
              </w:rPr>
              <w:t>四、本次募集资金投资项目与公司现有业务的关系以及公司在人员、技术、市场等方面的储备情况</w:t>
            </w:r>
            <w:r w:rsidR="00343C0E">
              <w:rPr>
                <w:rFonts w:cs="Times New Roman"/>
                <w:color w:val="000000" w:themeColor="text1"/>
                <w:szCs w:val="24"/>
              </w:rPr>
              <w:tab/>
            </w:r>
            <w:r w:rsidR="00343C0E">
              <w:rPr>
                <w:rFonts w:cs="Times New Roman"/>
                <w:color w:val="000000" w:themeColor="text1"/>
                <w:szCs w:val="24"/>
              </w:rPr>
              <w:fldChar w:fldCharType="begin"/>
            </w:r>
            <w:r w:rsidR="00343C0E">
              <w:rPr>
                <w:rFonts w:cs="Times New Roman"/>
                <w:color w:val="000000" w:themeColor="text1"/>
                <w:szCs w:val="24"/>
              </w:rPr>
              <w:instrText xml:space="preserve"> PAGEREF _Toc146198236 \h </w:instrText>
            </w:r>
            <w:r w:rsidR="00343C0E">
              <w:rPr>
                <w:rFonts w:cs="Times New Roman"/>
                <w:color w:val="000000" w:themeColor="text1"/>
                <w:szCs w:val="24"/>
              </w:rPr>
            </w:r>
            <w:r w:rsidR="00343C0E">
              <w:rPr>
                <w:rFonts w:cs="Times New Roman"/>
                <w:color w:val="000000" w:themeColor="text1"/>
                <w:szCs w:val="24"/>
              </w:rPr>
              <w:fldChar w:fldCharType="separate"/>
            </w:r>
            <w:r w:rsidR="00343C0E">
              <w:rPr>
                <w:rFonts w:cs="Times New Roman"/>
                <w:color w:val="000000" w:themeColor="text1"/>
                <w:szCs w:val="24"/>
              </w:rPr>
              <w:t>39</w:t>
            </w:r>
            <w:r w:rsidR="00343C0E">
              <w:rPr>
                <w:rFonts w:cs="Times New Roman"/>
                <w:color w:val="000000" w:themeColor="text1"/>
                <w:szCs w:val="24"/>
              </w:rPr>
              <w:fldChar w:fldCharType="end"/>
            </w:r>
          </w:hyperlink>
        </w:p>
        <w:p w:rsidR="003C3FCD" w:rsidRDefault="0054411B">
          <w:pPr>
            <w:pStyle w:val="20"/>
            <w:tabs>
              <w:tab w:val="right" w:leader="dot" w:pos="8296"/>
            </w:tabs>
            <w:spacing w:line="360" w:lineRule="auto"/>
            <w:ind w:left="480"/>
            <w:rPr>
              <w:rFonts w:cs="Times New Roman"/>
              <w:color w:val="000000" w:themeColor="text1"/>
              <w:szCs w:val="24"/>
            </w:rPr>
          </w:pPr>
          <w:hyperlink w:anchor="_Toc146198237" w:history="1">
            <w:r w:rsidR="00343C0E">
              <w:rPr>
                <w:rStyle w:val="ac"/>
                <w:rFonts w:cs="Times New Roman"/>
                <w:color w:val="000000" w:themeColor="text1"/>
                <w:szCs w:val="24"/>
              </w:rPr>
              <w:t>五、本次发行摊薄即期回报的填补措施</w:t>
            </w:r>
            <w:r w:rsidR="00343C0E">
              <w:rPr>
                <w:rFonts w:cs="Times New Roman"/>
                <w:color w:val="000000" w:themeColor="text1"/>
                <w:szCs w:val="24"/>
              </w:rPr>
              <w:tab/>
            </w:r>
            <w:r w:rsidR="00343C0E">
              <w:rPr>
                <w:rFonts w:cs="Times New Roman"/>
                <w:color w:val="000000" w:themeColor="text1"/>
                <w:szCs w:val="24"/>
              </w:rPr>
              <w:fldChar w:fldCharType="begin"/>
            </w:r>
            <w:r w:rsidR="00343C0E">
              <w:rPr>
                <w:rFonts w:cs="Times New Roman"/>
                <w:color w:val="000000" w:themeColor="text1"/>
                <w:szCs w:val="24"/>
              </w:rPr>
              <w:instrText xml:space="preserve"> PAGEREF _Toc146198237 \h </w:instrText>
            </w:r>
            <w:r w:rsidR="00343C0E">
              <w:rPr>
                <w:rFonts w:cs="Times New Roman"/>
                <w:color w:val="000000" w:themeColor="text1"/>
                <w:szCs w:val="24"/>
              </w:rPr>
            </w:r>
            <w:r w:rsidR="00343C0E">
              <w:rPr>
                <w:rFonts w:cs="Times New Roman"/>
                <w:color w:val="000000" w:themeColor="text1"/>
                <w:szCs w:val="24"/>
              </w:rPr>
              <w:fldChar w:fldCharType="separate"/>
            </w:r>
            <w:r w:rsidR="00343C0E">
              <w:rPr>
                <w:rFonts w:cs="Times New Roman"/>
                <w:color w:val="000000" w:themeColor="text1"/>
                <w:szCs w:val="24"/>
              </w:rPr>
              <w:t>40</w:t>
            </w:r>
            <w:r w:rsidR="00343C0E">
              <w:rPr>
                <w:rFonts w:cs="Times New Roman"/>
                <w:color w:val="000000" w:themeColor="text1"/>
                <w:szCs w:val="24"/>
              </w:rPr>
              <w:fldChar w:fldCharType="end"/>
            </w:r>
          </w:hyperlink>
        </w:p>
        <w:p w:rsidR="003C3FCD" w:rsidRDefault="0054411B">
          <w:pPr>
            <w:pStyle w:val="20"/>
            <w:tabs>
              <w:tab w:val="right" w:leader="dot" w:pos="8296"/>
            </w:tabs>
            <w:spacing w:line="360" w:lineRule="auto"/>
            <w:ind w:left="480"/>
            <w:rPr>
              <w:rFonts w:cs="Times New Roman"/>
              <w:color w:val="000000" w:themeColor="text1"/>
              <w:szCs w:val="24"/>
            </w:rPr>
          </w:pPr>
          <w:hyperlink w:anchor="_Toc146198238" w:history="1">
            <w:r w:rsidR="00343C0E">
              <w:rPr>
                <w:rStyle w:val="ac"/>
                <w:rFonts w:cs="Times New Roman"/>
                <w:color w:val="000000" w:themeColor="text1"/>
                <w:szCs w:val="24"/>
              </w:rPr>
              <w:t>六、公司董事、高级管理人员以及公司控股股东对公司填补回报措施能够得到切实履行的承诺</w:t>
            </w:r>
            <w:r w:rsidR="00343C0E">
              <w:rPr>
                <w:rFonts w:cs="Times New Roman"/>
                <w:color w:val="000000" w:themeColor="text1"/>
                <w:szCs w:val="24"/>
              </w:rPr>
              <w:tab/>
            </w:r>
            <w:r w:rsidR="00343C0E">
              <w:rPr>
                <w:rFonts w:cs="Times New Roman"/>
                <w:color w:val="000000" w:themeColor="text1"/>
                <w:szCs w:val="24"/>
              </w:rPr>
              <w:fldChar w:fldCharType="begin"/>
            </w:r>
            <w:r w:rsidR="00343C0E">
              <w:rPr>
                <w:rFonts w:cs="Times New Roman"/>
                <w:color w:val="000000" w:themeColor="text1"/>
                <w:szCs w:val="24"/>
              </w:rPr>
              <w:instrText xml:space="preserve"> PAGEREF _Toc146198238 \h </w:instrText>
            </w:r>
            <w:r w:rsidR="00343C0E">
              <w:rPr>
                <w:rFonts w:cs="Times New Roman"/>
                <w:color w:val="000000" w:themeColor="text1"/>
                <w:szCs w:val="24"/>
              </w:rPr>
            </w:r>
            <w:r w:rsidR="00343C0E">
              <w:rPr>
                <w:rFonts w:cs="Times New Roman"/>
                <w:color w:val="000000" w:themeColor="text1"/>
                <w:szCs w:val="24"/>
              </w:rPr>
              <w:fldChar w:fldCharType="separate"/>
            </w:r>
            <w:r w:rsidR="00343C0E">
              <w:rPr>
                <w:rFonts w:cs="Times New Roman"/>
                <w:color w:val="000000" w:themeColor="text1"/>
                <w:szCs w:val="24"/>
              </w:rPr>
              <w:t>42</w:t>
            </w:r>
            <w:r w:rsidR="00343C0E">
              <w:rPr>
                <w:rFonts w:cs="Times New Roman"/>
                <w:color w:val="000000" w:themeColor="text1"/>
                <w:szCs w:val="24"/>
              </w:rPr>
              <w:fldChar w:fldCharType="end"/>
            </w:r>
          </w:hyperlink>
        </w:p>
        <w:p w:rsidR="003C3FCD" w:rsidRDefault="0054411B">
          <w:pPr>
            <w:pStyle w:val="20"/>
            <w:tabs>
              <w:tab w:val="right" w:leader="dot" w:pos="8296"/>
            </w:tabs>
            <w:spacing w:line="360" w:lineRule="auto"/>
            <w:ind w:left="480"/>
            <w:rPr>
              <w:rFonts w:cs="Times New Roman"/>
              <w:color w:val="000000" w:themeColor="text1"/>
              <w:szCs w:val="24"/>
            </w:rPr>
          </w:pPr>
          <w:hyperlink w:anchor="_Toc146198239" w:history="1">
            <w:r w:rsidR="00343C0E">
              <w:rPr>
                <w:rStyle w:val="ac"/>
                <w:rFonts w:cs="Times New Roman"/>
                <w:color w:val="000000" w:themeColor="text1"/>
                <w:szCs w:val="24"/>
              </w:rPr>
              <w:t>七、关于本次发行摊薄即期回报的填补措施及承诺事项的审议程序</w:t>
            </w:r>
            <w:r w:rsidR="00343C0E">
              <w:rPr>
                <w:rFonts w:cs="Times New Roman"/>
                <w:color w:val="000000" w:themeColor="text1"/>
                <w:szCs w:val="24"/>
              </w:rPr>
              <w:tab/>
            </w:r>
            <w:r w:rsidR="00343C0E">
              <w:rPr>
                <w:rFonts w:cs="Times New Roman"/>
                <w:color w:val="000000" w:themeColor="text1"/>
                <w:szCs w:val="24"/>
              </w:rPr>
              <w:fldChar w:fldCharType="begin"/>
            </w:r>
            <w:r w:rsidR="00343C0E">
              <w:rPr>
                <w:rFonts w:cs="Times New Roman"/>
                <w:color w:val="000000" w:themeColor="text1"/>
                <w:szCs w:val="24"/>
              </w:rPr>
              <w:instrText xml:space="preserve"> PAGEREF _Toc146198239 \h </w:instrText>
            </w:r>
            <w:r w:rsidR="00343C0E">
              <w:rPr>
                <w:rFonts w:cs="Times New Roman"/>
                <w:color w:val="000000" w:themeColor="text1"/>
                <w:szCs w:val="24"/>
              </w:rPr>
            </w:r>
            <w:r w:rsidR="00343C0E">
              <w:rPr>
                <w:rFonts w:cs="Times New Roman"/>
                <w:color w:val="000000" w:themeColor="text1"/>
                <w:szCs w:val="24"/>
              </w:rPr>
              <w:fldChar w:fldCharType="separate"/>
            </w:r>
            <w:r w:rsidR="00343C0E">
              <w:rPr>
                <w:rFonts w:cs="Times New Roman"/>
                <w:color w:val="000000" w:themeColor="text1"/>
                <w:szCs w:val="24"/>
              </w:rPr>
              <w:t>43</w:t>
            </w:r>
            <w:r w:rsidR="00343C0E">
              <w:rPr>
                <w:rFonts w:cs="Times New Roman"/>
                <w:color w:val="000000" w:themeColor="text1"/>
                <w:szCs w:val="24"/>
              </w:rPr>
              <w:fldChar w:fldCharType="end"/>
            </w:r>
          </w:hyperlink>
        </w:p>
        <w:p w:rsidR="003C3FCD" w:rsidRDefault="00343C0E">
          <w:pPr>
            <w:spacing w:line="276" w:lineRule="auto"/>
            <w:rPr>
              <w:rFonts w:cs="Times New Roman"/>
              <w:color w:val="000000" w:themeColor="text1"/>
            </w:rPr>
          </w:pPr>
          <w:r>
            <w:rPr>
              <w:rFonts w:cs="Times New Roman"/>
              <w:bCs/>
              <w:color w:val="000000" w:themeColor="text1"/>
              <w:szCs w:val="24"/>
              <w:lang w:val="zh-CN"/>
            </w:rPr>
            <w:fldChar w:fldCharType="end"/>
          </w:r>
        </w:p>
      </w:sdtContent>
    </w:sdt>
    <w:p w:rsidR="003C3FCD" w:rsidRDefault="003C3FCD">
      <w:pPr>
        <w:widowControl/>
        <w:spacing w:line="360" w:lineRule="auto"/>
        <w:jc w:val="left"/>
        <w:rPr>
          <w:rFonts w:cs="Times New Roman"/>
          <w:color w:val="000000" w:themeColor="text1"/>
        </w:rPr>
      </w:pPr>
    </w:p>
    <w:p w:rsidR="003C3FCD" w:rsidRDefault="00343C0E">
      <w:pPr>
        <w:widowControl/>
        <w:spacing w:line="360" w:lineRule="auto"/>
        <w:jc w:val="left"/>
        <w:rPr>
          <w:rFonts w:cs="Times New Roman"/>
          <w:color w:val="000000" w:themeColor="text1"/>
        </w:rPr>
      </w:pPr>
      <w:r>
        <w:rPr>
          <w:rFonts w:cs="Times New Roman"/>
          <w:color w:val="000000" w:themeColor="text1"/>
        </w:rPr>
        <w:br w:type="page"/>
      </w:r>
    </w:p>
    <w:p w:rsidR="003C3FCD" w:rsidRDefault="00343C0E">
      <w:pPr>
        <w:pStyle w:val="1"/>
        <w:jc w:val="center"/>
        <w:rPr>
          <w:rFonts w:cs="Times New Roman"/>
          <w:color w:val="000000" w:themeColor="text1"/>
          <w:sz w:val="32"/>
        </w:rPr>
      </w:pPr>
      <w:bookmarkStart w:id="3" w:name="_Toc146198206"/>
      <w:r>
        <w:rPr>
          <w:rFonts w:cs="Times New Roman"/>
          <w:color w:val="000000" w:themeColor="text1"/>
          <w:sz w:val="32"/>
        </w:rPr>
        <w:lastRenderedPageBreak/>
        <w:t>释</w:t>
      </w:r>
      <w:r>
        <w:rPr>
          <w:rFonts w:cs="Times New Roman"/>
          <w:color w:val="000000" w:themeColor="text1"/>
          <w:sz w:val="32"/>
        </w:rPr>
        <w:t xml:space="preserve">   </w:t>
      </w:r>
      <w:r>
        <w:rPr>
          <w:rFonts w:cs="Times New Roman"/>
          <w:color w:val="000000" w:themeColor="text1"/>
          <w:sz w:val="32"/>
        </w:rPr>
        <w:t>义</w:t>
      </w:r>
      <w:bookmarkEnd w:id="3"/>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在本预案中，除非另有说明，下列简称具有如下含义：</w:t>
      </w:r>
    </w:p>
    <w:tbl>
      <w:tblPr>
        <w:tblStyle w:val="ab"/>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59"/>
        <w:gridCol w:w="699"/>
        <w:gridCol w:w="5318"/>
      </w:tblGrid>
      <w:tr w:rsidR="003C3FCD">
        <w:trPr>
          <w:trHeight w:val="340"/>
        </w:trPr>
        <w:tc>
          <w:tcPr>
            <w:tcW w:w="2310" w:type="dxa"/>
            <w:vAlign w:val="center"/>
          </w:tcPr>
          <w:p w:rsidR="003C3FCD" w:rsidRDefault="00343C0E">
            <w:pPr>
              <w:rPr>
                <w:rFonts w:cs="Times New Roman"/>
                <w:color w:val="000000" w:themeColor="text1"/>
                <w:sz w:val="21"/>
              </w:rPr>
            </w:pPr>
            <w:r>
              <w:rPr>
                <w:rFonts w:cs="Times New Roman"/>
                <w:color w:val="000000" w:themeColor="text1"/>
                <w:sz w:val="21"/>
              </w:rPr>
              <w:t>公司、本公司、发行人、渤海股份</w:t>
            </w:r>
          </w:p>
        </w:tc>
        <w:tc>
          <w:tcPr>
            <w:tcW w:w="708" w:type="dxa"/>
            <w:vAlign w:val="center"/>
          </w:tcPr>
          <w:p w:rsidR="003C3FCD" w:rsidRDefault="00343C0E">
            <w:pPr>
              <w:jc w:val="center"/>
              <w:rPr>
                <w:rFonts w:cs="Times New Roman"/>
                <w:color w:val="000000" w:themeColor="text1"/>
                <w:sz w:val="21"/>
              </w:rPr>
            </w:pPr>
            <w:r>
              <w:rPr>
                <w:rFonts w:cs="Times New Roman"/>
                <w:color w:val="000000" w:themeColor="text1"/>
                <w:sz w:val="21"/>
              </w:rPr>
              <w:t>指</w:t>
            </w:r>
          </w:p>
        </w:tc>
        <w:tc>
          <w:tcPr>
            <w:tcW w:w="5466" w:type="dxa"/>
            <w:vAlign w:val="center"/>
          </w:tcPr>
          <w:p w:rsidR="003C3FCD" w:rsidRDefault="00343C0E">
            <w:pPr>
              <w:rPr>
                <w:rFonts w:cs="Times New Roman"/>
                <w:color w:val="000000" w:themeColor="text1"/>
                <w:sz w:val="21"/>
              </w:rPr>
            </w:pPr>
            <w:r>
              <w:rPr>
                <w:rFonts w:cs="Times New Roman"/>
                <w:color w:val="000000" w:themeColor="text1"/>
                <w:sz w:val="21"/>
              </w:rPr>
              <w:t>渤海水业股份有限公司</w:t>
            </w:r>
          </w:p>
        </w:tc>
      </w:tr>
      <w:tr w:rsidR="003C3FCD">
        <w:trPr>
          <w:trHeight w:val="340"/>
        </w:trPr>
        <w:tc>
          <w:tcPr>
            <w:tcW w:w="2310" w:type="dxa"/>
            <w:vAlign w:val="center"/>
          </w:tcPr>
          <w:p w:rsidR="003C3FCD" w:rsidRDefault="00343C0E">
            <w:pPr>
              <w:rPr>
                <w:rFonts w:cs="Times New Roman"/>
                <w:color w:val="000000" w:themeColor="text1"/>
                <w:sz w:val="21"/>
              </w:rPr>
            </w:pPr>
            <w:r>
              <w:rPr>
                <w:rFonts w:cs="Times New Roman"/>
                <w:color w:val="000000" w:themeColor="text1"/>
                <w:sz w:val="21"/>
              </w:rPr>
              <w:t>本次发行</w:t>
            </w:r>
            <w:r>
              <w:rPr>
                <w:rFonts w:cs="Times New Roman"/>
                <w:color w:val="000000" w:themeColor="text1"/>
                <w:sz w:val="21"/>
              </w:rPr>
              <w:t>/</w:t>
            </w:r>
            <w:r>
              <w:rPr>
                <w:rFonts w:cs="Times New Roman"/>
                <w:color w:val="000000" w:themeColor="text1"/>
                <w:sz w:val="21"/>
              </w:rPr>
              <w:t>本次以简易程序向特定对象发行股票</w:t>
            </w:r>
          </w:p>
        </w:tc>
        <w:tc>
          <w:tcPr>
            <w:tcW w:w="708" w:type="dxa"/>
            <w:vAlign w:val="center"/>
          </w:tcPr>
          <w:p w:rsidR="003C3FCD" w:rsidRDefault="00343C0E">
            <w:pPr>
              <w:jc w:val="center"/>
              <w:rPr>
                <w:rFonts w:cs="Times New Roman"/>
                <w:color w:val="000000" w:themeColor="text1"/>
                <w:sz w:val="21"/>
              </w:rPr>
            </w:pPr>
            <w:r>
              <w:rPr>
                <w:rFonts w:cs="Times New Roman"/>
                <w:color w:val="000000" w:themeColor="text1"/>
                <w:sz w:val="21"/>
              </w:rPr>
              <w:t>指</w:t>
            </w:r>
          </w:p>
        </w:tc>
        <w:tc>
          <w:tcPr>
            <w:tcW w:w="5466" w:type="dxa"/>
            <w:vAlign w:val="center"/>
          </w:tcPr>
          <w:p w:rsidR="003C3FCD" w:rsidRDefault="00343C0E">
            <w:pPr>
              <w:rPr>
                <w:rFonts w:cs="Times New Roman"/>
                <w:color w:val="000000" w:themeColor="text1"/>
                <w:sz w:val="21"/>
              </w:rPr>
            </w:pPr>
            <w:r>
              <w:rPr>
                <w:rFonts w:cs="Times New Roman"/>
                <w:color w:val="000000" w:themeColor="text1"/>
                <w:sz w:val="21"/>
              </w:rPr>
              <w:t>渤海水业股份有限公司本次以简易程序向特定对象发行人民币普通股（</w:t>
            </w:r>
            <w:r>
              <w:rPr>
                <w:rFonts w:cs="Times New Roman"/>
                <w:color w:val="000000" w:themeColor="text1"/>
                <w:sz w:val="21"/>
              </w:rPr>
              <w:t>A</w:t>
            </w:r>
            <w:r>
              <w:rPr>
                <w:rFonts w:cs="Times New Roman"/>
                <w:color w:val="000000" w:themeColor="text1"/>
                <w:sz w:val="21"/>
              </w:rPr>
              <w:t>股）的行为</w:t>
            </w:r>
          </w:p>
        </w:tc>
      </w:tr>
      <w:tr w:rsidR="003C3FCD">
        <w:trPr>
          <w:trHeight w:val="340"/>
        </w:trPr>
        <w:tc>
          <w:tcPr>
            <w:tcW w:w="2310" w:type="dxa"/>
            <w:vAlign w:val="center"/>
          </w:tcPr>
          <w:p w:rsidR="003C3FCD" w:rsidRDefault="00343C0E">
            <w:pPr>
              <w:rPr>
                <w:rFonts w:cs="Times New Roman"/>
                <w:color w:val="000000" w:themeColor="text1"/>
                <w:sz w:val="21"/>
              </w:rPr>
            </w:pPr>
            <w:r>
              <w:rPr>
                <w:rFonts w:cs="Times New Roman"/>
                <w:color w:val="000000" w:themeColor="text1"/>
                <w:sz w:val="21"/>
              </w:rPr>
              <w:t>本预案</w:t>
            </w:r>
          </w:p>
        </w:tc>
        <w:tc>
          <w:tcPr>
            <w:tcW w:w="708" w:type="dxa"/>
            <w:vAlign w:val="center"/>
          </w:tcPr>
          <w:p w:rsidR="003C3FCD" w:rsidRDefault="00343C0E">
            <w:pPr>
              <w:jc w:val="center"/>
              <w:rPr>
                <w:rFonts w:cs="Times New Roman"/>
                <w:color w:val="000000" w:themeColor="text1"/>
                <w:sz w:val="21"/>
              </w:rPr>
            </w:pPr>
            <w:r>
              <w:rPr>
                <w:rFonts w:cs="Times New Roman"/>
                <w:color w:val="000000" w:themeColor="text1"/>
                <w:sz w:val="21"/>
              </w:rPr>
              <w:t>指</w:t>
            </w:r>
          </w:p>
        </w:tc>
        <w:tc>
          <w:tcPr>
            <w:tcW w:w="5466" w:type="dxa"/>
            <w:vAlign w:val="center"/>
          </w:tcPr>
          <w:p w:rsidR="003C3FCD" w:rsidRDefault="00343C0E">
            <w:pPr>
              <w:rPr>
                <w:rFonts w:cs="Times New Roman"/>
                <w:color w:val="000000" w:themeColor="text1"/>
                <w:sz w:val="21"/>
              </w:rPr>
            </w:pPr>
            <w:r>
              <w:rPr>
                <w:rFonts w:cs="Times New Roman"/>
                <w:color w:val="000000" w:themeColor="text1"/>
                <w:sz w:val="21"/>
              </w:rPr>
              <w:t>《渤海水业股份有限公司关于公司</w:t>
            </w:r>
            <w:r>
              <w:rPr>
                <w:rFonts w:cs="Times New Roman"/>
                <w:color w:val="000000" w:themeColor="text1"/>
                <w:sz w:val="21"/>
              </w:rPr>
              <w:t>2024</w:t>
            </w:r>
            <w:r>
              <w:rPr>
                <w:rFonts w:cs="Times New Roman"/>
                <w:color w:val="000000" w:themeColor="text1"/>
                <w:sz w:val="21"/>
              </w:rPr>
              <w:t>年度以简易程序向特定对象发行股票预案》</w:t>
            </w:r>
          </w:p>
        </w:tc>
      </w:tr>
      <w:tr w:rsidR="003C3FCD">
        <w:trPr>
          <w:trHeight w:val="340"/>
        </w:trPr>
        <w:tc>
          <w:tcPr>
            <w:tcW w:w="2310" w:type="dxa"/>
            <w:vAlign w:val="center"/>
          </w:tcPr>
          <w:p w:rsidR="003C3FCD" w:rsidRDefault="00343C0E">
            <w:pPr>
              <w:rPr>
                <w:rFonts w:cs="Times New Roman"/>
                <w:color w:val="000000" w:themeColor="text1"/>
                <w:sz w:val="21"/>
              </w:rPr>
            </w:pPr>
            <w:r>
              <w:rPr>
                <w:rFonts w:cs="Times New Roman"/>
                <w:color w:val="000000" w:themeColor="text1"/>
                <w:sz w:val="21"/>
              </w:rPr>
              <w:t>股东大会</w:t>
            </w:r>
          </w:p>
        </w:tc>
        <w:tc>
          <w:tcPr>
            <w:tcW w:w="708" w:type="dxa"/>
            <w:vAlign w:val="center"/>
          </w:tcPr>
          <w:p w:rsidR="003C3FCD" w:rsidRDefault="00343C0E">
            <w:pPr>
              <w:jc w:val="center"/>
              <w:rPr>
                <w:rFonts w:cs="Times New Roman"/>
                <w:color w:val="000000" w:themeColor="text1"/>
                <w:sz w:val="21"/>
              </w:rPr>
            </w:pPr>
            <w:r>
              <w:rPr>
                <w:rFonts w:cs="Times New Roman"/>
                <w:color w:val="000000" w:themeColor="text1"/>
                <w:sz w:val="21"/>
              </w:rPr>
              <w:t>指</w:t>
            </w:r>
          </w:p>
        </w:tc>
        <w:tc>
          <w:tcPr>
            <w:tcW w:w="5466" w:type="dxa"/>
            <w:vAlign w:val="center"/>
          </w:tcPr>
          <w:p w:rsidR="003C3FCD" w:rsidRDefault="00343C0E">
            <w:pPr>
              <w:rPr>
                <w:rFonts w:cs="Times New Roman"/>
                <w:color w:val="000000" w:themeColor="text1"/>
                <w:sz w:val="21"/>
              </w:rPr>
            </w:pPr>
            <w:r>
              <w:rPr>
                <w:rFonts w:cs="Times New Roman"/>
                <w:color w:val="000000" w:themeColor="text1"/>
                <w:sz w:val="21"/>
              </w:rPr>
              <w:t>渤海水业股份有限公司股东大会</w:t>
            </w:r>
          </w:p>
        </w:tc>
      </w:tr>
      <w:tr w:rsidR="003C3FCD">
        <w:trPr>
          <w:trHeight w:val="340"/>
        </w:trPr>
        <w:tc>
          <w:tcPr>
            <w:tcW w:w="2310" w:type="dxa"/>
            <w:vAlign w:val="center"/>
          </w:tcPr>
          <w:p w:rsidR="003C3FCD" w:rsidRDefault="00343C0E">
            <w:pPr>
              <w:rPr>
                <w:rFonts w:cs="Times New Roman"/>
                <w:color w:val="000000" w:themeColor="text1"/>
                <w:sz w:val="21"/>
              </w:rPr>
            </w:pPr>
            <w:r>
              <w:rPr>
                <w:rFonts w:cs="Times New Roman"/>
                <w:color w:val="000000" w:themeColor="text1"/>
                <w:sz w:val="21"/>
              </w:rPr>
              <w:t>董事会</w:t>
            </w:r>
          </w:p>
        </w:tc>
        <w:tc>
          <w:tcPr>
            <w:tcW w:w="708" w:type="dxa"/>
            <w:vAlign w:val="center"/>
          </w:tcPr>
          <w:p w:rsidR="003C3FCD" w:rsidRDefault="00343C0E">
            <w:pPr>
              <w:jc w:val="center"/>
              <w:rPr>
                <w:rFonts w:cs="Times New Roman"/>
                <w:color w:val="000000" w:themeColor="text1"/>
                <w:sz w:val="21"/>
              </w:rPr>
            </w:pPr>
            <w:r>
              <w:rPr>
                <w:rFonts w:cs="Times New Roman"/>
                <w:color w:val="000000" w:themeColor="text1"/>
                <w:sz w:val="21"/>
              </w:rPr>
              <w:t>指</w:t>
            </w:r>
          </w:p>
        </w:tc>
        <w:tc>
          <w:tcPr>
            <w:tcW w:w="5466" w:type="dxa"/>
            <w:vAlign w:val="center"/>
          </w:tcPr>
          <w:p w:rsidR="003C3FCD" w:rsidRDefault="00343C0E">
            <w:pPr>
              <w:rPr>
                <w:rFonts w:cs="Times New Roman"/>
                <w:color w:val="000000" w:themeColor="text1"/>
                <w:sz w:val="21"/>
              </w:rPr>
            </w:pPr>
            <w:r>
              <w:rPr>
                <w:rFonts w:cs="Times New Roman"/>
                <w:color w:val="000000" w:themeColor="text1"/>
                <w:sz w:val="21"/>
              </w:rPr>
              <w:t>渤海水业股份有限公司董事会</w:t>
            </w:r>
          </w:p>
        </w:tc>
      </w:tr>
      <w:tr w:rsidR="003C3FCD">
        <w:trPr>
          <w:trHeight w:val="340"/>
        </w:trPr>
        <w:tc>
          <w:tcPr>
            <w:tcW w:w="2310" w:type="dxa"/>
            <w:vAlign w:val="center"/>
          </w:tcPr>
          <w:p w:rsidR="003C3FCD" w:rsidRDefault="00343C0E">
            <w:pPr>
              <w:rPr>
                <w:rFonts w:cs="Times New Roman"/>
                <w:color w:val="000000" w:themeColor="text1"/>
                <w:sz w:val="21"/>
              </w:rPr>
            </w:pPr>
            <w:r>
              <w:rPr>
                <w:rFonts w:cs="Times New Roman"/>
                <w:color w:val="000000" w:themeColor="text1"/>
                <w:sz w:val="21"/>
              </w:rPr>
              <w:t>监事会</w:t>
            </w:r>
          </w:p>
        </w:tc>
        <w:tc>
          <w:tcPr>
            <w:tcW w:w="708" w:type="dxa"/>
            <w:vAlign w:val="center"/>
          </w:tcPr>
          <w:p w:rsidR="003C3FCD" w:rsidRDefault="00343C0E">
            <w:pPr>
              <w:jc w:val="center"/>
              <w:rPr>
                <w:rFonts w:cs="Times New Roman"/>
                <w:color w:val="000000" w:themeColor="text1"/>
                <w:sz w:val="21"/>
              </w:rPr>
            </w:pPr>
            <w:r>
              <w:rPr>
                <w:rFonts w:cs="Times New Roman"/>
                <w:color w:val="000000" w:themeColor="text1"/>
                <w:sz w:val="21"/>
              </w:rPr>
              <w:t>指</w:t>
            </w:r>
          </w:p>
        </w:tc>
        <w:tc>
          <w:tcPr>
            <w:tcW w:w="5466" w:type="dxa"/>
            <w:vAlign w:val="center"/>
          </w:tcPr>
          <w:p w:rsidR="003C3FCD" w:rsidRDefault="00343C0E">
            <w:pPr>
              <w:rPr>
                <w:rFonts w:cs="Times New Roman"/>
                <w:color w:val="000000" w:themeColor="text1"/>
                <w:sz w:val="21"/>
              </w:rPr>
            </w:pPr>
            <w:r>
              <w:rPr>
                <w:rFonts w:cs="Times New Roman"/>
                <w:color w:val="000000" w:themeColor="text1"/>
                <w:sz w:val="21"/>
              </w:rPr>
              <w:t>渤海水业股份有限公司监事会</w:t>
            </w:r>
          </w:p>
        </w:tc>
      </w:tr>
      <w:tr w:rsidR="003C3FCD">
        <w:trPr>
          <w:trHeight w:val="340"/>
        </w:trPr>
        <w:tc>
          <w:tcPr>
            <w:tcW w:w="2310" w:type="dxa"/>
            <w:vAlign w:val="center"/>
          </w:tcPr>
          <w:p w:rsidR="003C3FCD" w:rsidRDefault="00343C0E">
            <w:pPr>
              <w:rPr>
                <w:rFonts w:cs="Times New Roman"/>
                <w:color w:val="000000" w:themeColor="text1"/>
                <w:sz w:val="21"/>
              </w:rPr>
            </w:pPr>
            <w:proofErr w:type="gramStart"/>
            <w:r>
              <w:rPr>
                <w:rFonts w:cs="Times New Roman"/>
                <w:color w:val="000000" w:themeColor="text1"/>
                <w:sz w:val="21"/>
              </w:rPr>
              <w:t>兴津公司</w:t>
            </w:r>
            <w:proofErr w:type="gramEnd"/>
            <w:r>
              <w:rPr>
                <w:rFonts w:cs="Times New Roman"/>
                <w:color w:val="000000" w:themeColor="text1"/>
                <w:sz w:val="21"/>
              </w:rPr>
              <w:t>、控股股东</w:t>
            </w:r>
          </w:p>
        </w:tc>
        <w:tc>
          <w:tcPr>
            <w:tcW w:w="708" w:type="dxa"/>
            <w:vAlign w:val="center"/>
          </w:tcPr>
          <w:p w:rsidR="003C3FCD" w:rsidRDefault="00343C0E">
            <w:pPr>
              <w:jc w:val="center"/>
              <w:rPr>
                <w:rFonts w:cs="Times New Roman"/>
                <w:color w:val="000000" w:themeColor="text1"/>
                <w:sz w:val="21"/>
              </w:rPr>
            </w:pPr>
            <w:r>
              <w:rPr>
                <w:rFonts w:cs="Times New Roman"/>
                <w:color w:val="000000" w:themeColor="text1"/>
                <w:sz w:val="21"/>
              </w:rPr>
              <w:t>指</w:t>
            </w:r>
          </w:p>
        </w:tc>
        <w:tc>
          <w:tcPr>
            <w:tcW w:w="5466" w:type="dxa"/>
            <w:vAlign w:val="center"/>
          </w:tcPr>
          <w:p w:rsidR="003C3FCD" w:rsidRDefault="00343C0E">
            <w:pPr>
              <w:rPr>
                <w:rFonts w:cs="Times New Roman"/>
                <w:color w:val="000000" w:themeColor="text1"/>
                <w:sz w:val="21"/>
              </w:rPr>
            </w:pPr>
            <w:r>
              <w:rPr>
                <w:rFonts w:cs="Times New Roman"/>
                <w:color w:val="000000" w:themeColor="text1"/>
                <w:sz w:val="21"/>
              </w:rPr>
              <w:t>天津兴津企业管理有限公司</w:t>
            </w:r>
          </w:p>
        </w:tc>
      </w:tr>
      <w:tr w:rsidR="003C3FCD">
        <w:trPr>
          <w:trHeight w:val="340"/>
        </w:trPr>
        <w:tc>
          <w:tcPr>
            <w:tcW w:w="2310" w:type="dxa"/>
            <w:vAlign w:val="center"/>
          </w:tcPr>
          <w:p w:rsidR="003C3FCD" w:rsidRDefault="00343C0E">
            <w:pPr>
              <w:rPr>
                <w:rFonts w:cs="Times New Roman"/>
                <w:color w:val="000000" w:themeColor="text1"/>
                <w:sz w:val="21"/>
              </w:rPr>
            </w:pPr>
            <w:r>
              <w:rPr>
                <w:rFonts w:cs="Times New Roman"/>
                <w:color w:val="000000" w:themeColor="text1"/>
                <w:sz w:val="21"/>
              </w:rPr>
              <w:t>水</w:t>
            </w:r>
            <w:proofErr w:type="gramStart"/>
            <w:r>
              <w:rPr>
                <w:rFonts w:cs="Times New Roman"/>
                <w:color w:val="000000" w:themeColor="text1"/>
                <w:sz w:val="21"/>
              </w:rPr>
              <w:t>务</w:t>
            </w:r>
            <w:proofErr w:type="gramEnd"/>
            <w:r>
              <w:rPr>
                <w:rFonts w:cs="Times New Roman"/>
                <w:color w:val="000000" w:themeColor="text1"/>
                <w:sz w:val="21"/>
              </w:rPr>
              <w:t>集团</w:t>
            </w:r>
          </w:p>
        </w:tc>
        <w:tc>
          <w:tcPr>
            <w:tcW w:w="708" w:type="dxa"/>
            <w:vAlign w:val="center"/>
          </w:tcPr>
          <w:p w:rsidR="003C3FCD" w:rsidRDefault="00343C0E">
            <w:pPr>
              <w:jc w:val="center"/>
              <w:rPr>
                <w:rFonts w:cs="Times New Roman"/>
                <w:color w:val="000000" w:themeColor="text1"/>
                <w:sz w:val="21"/>
              </w:rPr>
            </w:pPr>
            <w:r>
              <w:rPr>
                <w:rFonts w:cs="Times New Roman"/>
                <w:color w:val="000000" w:themeColor="text1"/>
                <w:sz w:val="21"/>
              </w:rPr>
              <w:t>指</w:t>
            </w:r>
          </w:p>
        </w:tc>
        <w:tc>
          <w:tcPr>
            <w:tcW w:w="5466" w:type="dxa"/>
            <w:vAlign w:val="center"/>
          </w:tcPr>
          <w:p w:rsidR="003C3FCD" w:rsidRDefault="00343C0E">
            <w:pPr>
              <w:rPr>
                <w:rFonts w:cs="Times New Roman"/>
                <w:color w:val="000000" w:themeColor="text1"/>
                <w:sz w:val="21"/>
              </w:rPr>
            </w:pPr>
            <w:r>
              <w:rPr>
                <w:rFonts w:cs="Times New Roman"/>
                <w:color w:val="000000" w:themeColor="text1"/>
                <w:sz w:val="21"/>
              </w:rPr>
              <w:t>天津水务集团有限公司</w:t>
            </w:r>
          </w:p>
        </w:tc>
      </w:tr>
      <w:tr w:rsidR="003C3FCD">
        <w:trPr>
          <w:trHeight w:val="340"/>
        </w:trPr>
        <w:tc>
          <w:tcPr>
            <w:tcW w:w="2310" w:type="dxa"/>
            <w:vAlign w:val="center"/>
          </w:tcPr>
          <w:p w:rsidR="003C3FCD" w:rsidRDefault="00343C0E">
            <w:pPr>
              <w:rPr>
                <w:rFonts w:cs="Times New Roman"/>
                <w:color w:val="000000" w:themeColor="text1"/>
                <w:sz w:val="21"/>
              </w:rPr>
            </w:pPr>
            <w:r>
              <w:rPr>
                <w:rFonts w:cs="Times New Roman"/>
                <w:color w:val="000000" w:themeColor="text1"/>
                <w:sz w:val="21"/>
              </w:rPr>
              <w:t>天津市国资委</w:t>
            </w:r>
          </w:p>
        </w:tc>
        <w:tc>
          <w:tcPr>
            <w:tcW w:w="708" w:type="dxa"/>
            <w:vAlign w:val="center"/>
          </w:tcPr>
          <w:p w:rsidR="003C3FCD" w:rsidRDefault="00343C0E">
            <w:pPr>
              <w:jc w:val="center"/>
              <w:rPr>
                <w:rFonts w:cs="Times New Roman"/>
                <w:color w:val="000000" w:themeColor="text1"/>
                <w:sz w:val="21"/>
              </w:rPr>
            </w:pPr>
            <w:r>
              <w:rPr>
                <w:rFonts w:cs="Times New Roman"/>
                <w:color w:val="000000" w:themeColor="text1"/>
                <w:sz w:val="21"/>
              </w:rPr>
              <w:t>指</w:t>
            </w:r>
          </w:p>
        </w:tc>
        <w:tc>
          <w:tcPr>
            <w:tcW w:w="5466" w:type="dxa"/>
            <w:vAlign w:val="center"/>
          </w:tcPr>
          <w:p w:rsidR="003C3FCD" w:rsidRDefault="00343C0E">
            <w:pPr>
              <w:rPr>
                <w:rFonts w:cs="Times New Roman"/>
                <w:color w:val="000000" w:themeColor="text1"/>
                <w:sz w:val="21"/>
              </w:rPr>
            </w:pPr>
            <w:r>
              <w:rPr>
                <w:rFonts w:cs="Times New Roman"/>
                <w:color w:val="000000" w:themeColor="text1"/>
                <w:sz w:val="21"/>
              </w:rPr>
              <w:t>天津市</w:t>
            </w:r>
            <w:r>
              <w:rPr>
                <w:rFonts w:cs="Times New Roman" w:hint="eastAsia"/>
                <w:color w:val="000000" w:themeColor="text1"/>
                <w:sz w:val="21"/>
              </w:rPr>
              <w:t>人民政府</w:t>
            </w:r>
            <w:r>
              <w:rPr>
                <w:rFonts w:cs="Times New Roman"/>
                <w:color w:val="000000" w:themeColor="text1"/>
                <w:sz w:val="21"/>
              </w:rPr>
              <w:t>国有资产监督管理委员会</w:t>
            </w:r>
          </w:p>
        </w:tc>
      </w:tr>
      <w:tr w:rsidR="003C3FCD">
        <w:trPr>
          <w:trHeight w:val="340"/>
        </w:trPr>
        <w:tc>
          <w:tcPr>
            <w:tcW w:w="2310" w:type="dxa"/>
            <w:vAlign w:val="center"/>
          </w:tcPr>
          <w:p w:rsidR="003C3FCD" w:rsidRDefault="00343C0E">
            <w:pPr>
              <w:rPr>
                <w:rFonts w:cs="Times New Roman"/>
                <w:color w:val="000000" w:themeColor="text1"/>
                <w:sz w:val="21"/>
              </w:rPr>
            </w:pPr>
            <w:r>
              <w:rPr>
                <w:rFonts w:cs="Times New Roman"/>
                <w:color w:val="000000" w:themeColor="text1"/>
                <w:sz w:val="21"/>
              </w:rPr>
              <w:t>中国证监会</w:t>
            </w:r>
          </w:p>
        </w:tc>
        <w:tc>
          <w:tcPr>
            <w:tcW w:w="708" w:type="dxa"/>
            <w:vAlign w:val="center"/>
          </w:tcPr>
          <w:p w:rsidR="003C3FCD" w:rsidRDefault="00343C0E">
            <w:pPr>
              <w:jc w:val="center"/>
              <w:rPr>
                <w:rFonts w:cs="Times New Roman"/>
                <w:color w:val="000000" w:themeColor="text1"/>
                <w:sz w:val="21"/>
              </w:rPr>
            </w:pPr>
            <w:r>
              <w:rPr>
                <w:rFonts w:cs="Times New Roman"/>
                <w:color w:val="000000" w:themeColor="text1"/>
                <w:sz w:val="21"/>
              </w:rPr>
              <w:t>指</w:t>
            </w:r>
          </w:p>
        </w:tc>
        <w:tc>
          <w:tcPr>
            <w:tcW w:w="5466" w:type="dxa"/>
            <w:vAlign w:val="center"/>
          </w:tcPr>
          <w:p w:rsidR="003C3FCD" w:rsidRDefault="00343C0E">
            <w:pPr>
              <w:rPr>
                <w:rFonts w:cs="Times New Roman"/>
                <w:color w:val="000000" w:themeColor="text1"/>
                <w:sz w:val="21"/>
              </w:rPr>
            </w:pPr>
            <w:r>
              <w:rPr>
                <w:rFonts w:cs="Times New Roman"/>
                <w:color w:val="000000" w:themeColor="text1"/>
                <w:sz w:val="21"/>
              </w:rPr>
              <w:t>中国证券监督管理委员会</w:t>
            </w:r>
          </w:p>
        </w:tc>
      </w:tr>
      <w:tr w:rsidR="003C3FCD">
        <w:trPr>
          <w:trHeight w:val="340"/>
        </w:trPr>
        <w:tc>
          <w:tcPr>
            <w:tcW w:w="2310" w:type="dxa"/>
            <w:vAlign w:val="center"/>
          </w:tcPr>
          <w:p w:rsidR="003C3FCD" w:rsidRDefault="00343C0E">
            <w:pPr>
              <w:rPr>
                <w:rFonts w:cs="Times New Roman"/>
                <w:color w:val="000000" w:themeColor="text1"/>
                <w:sz w:val="21"/>
              </w:rPr>
            </w:pPr>
            <w:r>
              <w:rPr>
                <w:rFonts w:cs="Times New Roman"/>
                <w:color w:val="000000" w:themeColor="text1"/>
                <w:sz w:val="21"/>
              </w:rPr>
              <w:t>深交所</w:t>
            </w:r>
          </w:p>
        </w:tc>
        <w:tc>
          <w:tcPr>
            <w:tcW w:w="708" w:type="dxa"/>
            <w:vAlign w:val="center"/>
          </w:tcPr>
          <w:p w:rsidR="003C3FCD" w:rsidRDefault="00343C0E">
            <w:pPr>
              <w:jc w:val="center"/>
              <w:rPr>
                <w:rFonts w:cs="Times New Roman"/>
                <w:color w:val="000000" w:themeColor="text1"/>
                <w:sz w:val="21"/>
              </w:rPr>
            </w:pPr>
            <w:r>
              <w:rPr>
                <w:rFonts w:cs="Times New Roman"/>
                <w:color w:val="000000" w:themeColor="text1"/>
                <w:sz w:val="21"/>
              </w:rPr>
              <w:t>指</w:t>
            </w:r>
          </w:p>
        </w:tc>
        <w:tc>
          <w:tcPr>
            <w:tcW w:w="5466" w:type="dxa"/>
            <w:vAlign w:val="center"/>
          </w:tcPr>
          <w:p w:rsidR="003C3FCD" w:rsidRDefault="00343C0E">
            <w:pPr>
              <w:rPr>
                <w:rFonts w:cs="Times New Roman"/>
                <w:color w:val="000000" w:themeColor="text1"/>
                <w:sz w:val="21"/>
              </w:rPr>
            </w:pPr>
            <w:r>
              <w:rPr>
                <w:rFonts w:cs="Times New Roman"/>
                <w:color w:val="000000" w:themeColor="text1"/>
                <w:sz w:val="21"/>
              </w:rPr>
              <w:t>深圳证券交易所</w:t>
            </w:r>
          </w:p>
        </w:tc>
      </w:tr>
      <w:tr w:rsidR="003C3FCD">
        <w:trPr>
          <w:trHeight w:val="340"/>
        </w:trPr>
        <w:tc>
          <w:tcPr>
            <w:tcW w:w="2310" w:type="dxa"/>
            <w:vAlign w:val="center"/>
          </w:tcPr>
          <w:p w:rsidR="003C3FCD" w:rsidRDefault="00343C0E">
            <w:pPr>
              <w:rPr>
                <w:rFonts w:cs="Times New Roman"/>
                <w:color w:val="000000" w:themeColor="text1"/>
                <w:sz w:val="21"/>
              </w:rPr>
            </w:pPr>
            <w:r>
              <w:rPr>
                <w:rFonts w:cs="Times New Roman"/>
                <w:color w:val="000000" w:themeColor="text1"/>
                <w:sz w:val="21"/>
              </w:rPr>
              <w:t>《公司法》</w:t>
            </w:r>
          </w:p>
        </w:tc>
        <w:tc>
          <w:tcPr>
            <w:tcW w:w="708" w:type="dxa"/>
            <w:vAlign w:val="center"/>
          </w:tcPr>
          <w:p w:rsidR="003C3FCD" w:rsidRDefault="00343C0E">
            <w:pPr>
              <w:jc w:val="center"/>
              <w:rPr>
                <w:rFonts w:cs="Times New Roman"/>
                <w:color w:val="000000" w:themeColor="text1"/>
                <w:sz w:val="21"/>
              </w:rPr>
            </w:pPr>
            <w:r>
              <w:rPr>
                <w:rFonts w:cs="Times New Roman"/>
                <w:color w:val="000000" w:themeColor="text1"/>
                <w:sz w:val="21"/>
              </w:rPr>
              <w:t>指</w:t>
            </w:r>
          </w:p>
        </w:tc>
        <w:tc>
          <w:tcPr>
            <w:tcW w:w="5466" w:type="dxa"/>
            <w:vAlign w:val="center"/>
          </w:tcPr>
          <w:p w:rsidR="003C3FCD" w:rsidRDefault="00343C0E">
            <w:pPr>
              <w:rPr>
                <w:rFonts w:cs="Times New Roman"/>
                <w:color w:val="000000" w:themeColor="text1"/>
                <w:sz w:val="21"/>
              </w:rPr>
            </w:pPr>
            <w:r>
              <w:rPr>
                <w:rFonts w:cs="Times New Roman"/>
                <w:color w:val="000000" w:themeColor="text1"/>
                <w:sz w:val="21"/>
              </w:rPr>
              <w:t>《中华人民共和国公司法》</w:t>
            </w:r>
          </w:p>
        </w:tc>
      </w:tr>
      <w:tr w:rsidR="003C3FCD">
        <w:trPr>
          <w:trHeight w:val="340"/>
        </w:trPr>
        <w:tc>
          <w:tcPr>
            <w:tcW w:w="2310" w:type="dxa"/>
            <w:vAlign w:val="center"/>
          </w:tcPr>
          <w:p w:rsidR="003C3FCD" w:rsidRDefault="00343C0E">
            <w:pPr>
              <w:rPr>
                <w:rFonts w:cs="Times New Roman"/>
                <w:color w:val="000000" w:themeColor="text1"/>
                <w:sz w:val="21"/>
              </w:rPr>
            </w:pPr>
            <w:r>
              <w:rPr>
                <w:rFonts w:cs="Times New Roman"/>
                <w:color w:val="000000" w:themeColor="text1"/>
                <w:sz w:val="21"/>
              </w:rPr>
              <w:t>《证券法》</w:t>
            </w:r>
          </w:p>
        </w:tc>
        <w:tc>
          <w:tcPr>
            <w:tcW w:w="708" w:type="dxa"/>
            <w:vAlign w:val="center"/>
          </w:tcPr>
          <w:p w:rsidR="003C3FCD" w:rsidRDefault="00343C0E">
            <w:pPr>
              <w:jc w:val="center"/>
              <w:rPr>
                <w:rFonts w:cs="Times New Roman"/>
                <w:color w:val="000000" w:themeColor="text1"/>
                <w:sz w:val="21"/>
              </w:rPr>
            </w:pPr>
            <w:r>
              <w:rPr>
                <w:rFonts w:cs="Times New Roman"/>
                <w:color w:val="000000" w:themeColor="text1"/>
                <w:sz w:val="21"/>
              </w:rPr>
              <w:t>指</w:t>
            </w:r>
          </w:p>
        </w:tc>
        <w:tc>
          <w:tcPr>
            <w:tcW w:w="5466" w:type="dxa"/>
            <w:vAlign w:val="center"/>
          </w:tcPr>
          <w:p w:rsidR="003C3FCD" w:rsidRDefault="00343C0E">
            <w:pPr>
              <w:rPr>
                <w:rFonts w:cs="Times New Roman"/>
                <w:color w:val="000000" w:themeColor="text1"/>
                <w:sz w:val="21"/>
              </w:rPr>
            </w:pPr>
            <w:r>
              <w:rPr>
                <w:rFonts w:cs="Times New Roman"/>
                <w:color w:val="000000" w:themeColor="text1"/>
                <w:sz w:val="21"/>
              </w:rPr>
              <w:t>《中华人民共和国证券法》</w:t>
            </w:r>
          </w:p>
        </w:tc>
      </w:tr>
      <w:tr w:rsidR="003C3FCD">
        <w:trPr>
          <w:trHeight w:val="340"/>
        </w:trPr>
        <w:tc>
          <w:tcPr>
            <w:tcW w:w="2310" w:type="dxa"/>
            <w:vAlign w:val="center"/>
          </w:tcPr>
          <w:p w:rsidR="003C3FCD" w:rsidRDefault="00343C0E">
            <w:pPr>
              <w:rPr>
                <w:rFonts w:cs="Times New Roman"/>
                <w:color w:val="000000" w:themeColor="text1"/>
                <w:sz w:val="21"/>
              </w:rPr>
            </w:pPr>
            <w:r>
              <w:rPr>
                <w:rFonts w:cs="Times New Roman"/>
                <w:color w:val="000000" w:themeColor="text1"/>
                <w:sz w:val="21"/>
              </w:rPr>
              <w:t>公司章程</w:t>
            </w:r>
          </w:p>
        </w:tc>
        <w:tc>
          <w:tcPr>
            <w:tcW w:w="708" w:type="dxa"/>
            <w:vAlign w:val="center"/>
          </w:tcPr>
          <w:p w:rsidR="003C3FCD" w:rsidRDefault="00343C0E">
            <w:pPr>
              <w:jc w:val="center"/>
              <w:rPr>
                <w:rFonts w:cs="Times New Roman"/>
                <w:color w:val="000000" w:themeColor="text1"/>
                <w:sz w:val="21"/>
              </w:rPr>
            </w:pPr>
            <w:r>
              <w:rPr>
                <w:rFonts w:cs="Times New Roman"/>
                <w:color w:val="000000" w:themeColor="text1"/>
                <w:sz w:val="21"/>
              </w:rPr>
              <w:t>指</w:t>
            </w:r>
          </w:p>
        </w:tc>
        <w:tc>
          <w:tcPr>
            <w:tcW w:w="5466" w:type="dxa"/>
            <w:vAlign w:val="center"/>
          </w:tcPr>
          <w:p w:rsidR="003C3FCD" w:rsidRDefault="00343C0E">
            <w:pPr>
              <w:rPr>
                <w:rFonts w:cs="Times New Roman"/>
                <w:color w:val="000000" w:themeColor="text1"/>
                <w:sz w:val="21"/>
              </w:rPr>
            </w:pPr>
            <w:r>
              <w:rPr>
                <w:rFonts w:cs="Times New Roman"/>
                <w:color w:val="000000" w:themeColor="text1"/>
                <w:sz w:val="21"/>
              </w:rPr>
              <w:t>《渤海水业股份有限公司章程》及其相关修订的版本</w:t>
            </w:r>
          </w:p>
        </w:tc>
      </w:tr>
      <w:tr w:rsidR="003C3FCD">
        <w:trPr>
          <w:trHeight w:val="340"/>
        </w:trPr>
        <w:tc>
          <w:tcPr>
            <w:tcW w:w="2310" w:type="dxa"/>
            <w:vAlign w:val="center"/>
          </w:tcPr>
          <w:p w:rsidR="003C3FCD" w:rsidRDefault="00343C0E">
            <w:pPr>
              <w:rPr>
                <w:rFonts w:cs="Times New Roman"/>
                <w:color w:val="000000" w:themeColor="text1"/>
                <w:sz w:val="21"/>
              </w:rPr>
            </w:pPr>
            <w:r>
              <w:rPr>
                <w:rFonts w:cs="Times New Roman"/>
                <w:color w:val="000000" w:themeColor="text1"/>
                <w:sz w:val="21"/>
              </w:rPr>
              <w:t>最近三年一期、报告期</w:t>
            </w:r>
          </w:p>
        </w:tc>
        <w:tc>
          <w:tcPr>
            <w:tcW w:w="708" w:type="dxa"/>
            <w:vAlign w:val="center"/>
          </w:tcPr>
          <w:p w:rsidR="003C3FCD" w:rsidRDefault="00343C0E">
            <w:pPr>
              <w:jc w:val="center"/>
              <w:rPr>
                <w:rFonts w:cs="Times New Roman"/>
                <w:color w:val="000000" w:themeColor="text1"/>
                <w:sz w:val="21"/>
              </w:rPr>
            </w:pPr>
            <w:r>
              <w:rPr>
                <w:rFonts w:cs="Times New Roman"/>
                <w:color w:val="000000" w:themeColor="text1"/>
                <w:sz w:val="21"/>
              </w:rPr>
              <w:t>指</w:t>
            </w:r>
          </w:p>
        </w:tc>
        <w:tc>
          <w:tcPr>
            <w:tcW w:w="5466" w:type="dxa"/>
            <w:vAlign w:val="center"/>
          </w:tcPr>
          <w:p w:rsidR="003C3FCD" w:rsidRDefault="00343C0E">
            <w:pPr>
              <w:rPr>
                <w:rFonts w:cs="Times New Roman"/>
                <w:color w:val="000000" w:themeColor="text1"/>
                <w:sz w:val="21"/>
              </w:rPr>
            </w:pPr>
            <w:r>
              <w:rPr>
                <w:rFonts w:cs="Times New Roman"/>
                <w:color w:val="000000" w:themeColor="text1"/>
                <w:sz w:val="21"/>
              </w:rPr>
              <w:t>2020</w:t>
            </w:r>
            <w:r>
              <w:rPr>
                <w:rFonts w:cs="Times New Roman"/>
                <w:color w:val="000000" w:themeColor="text1"/>
                <w:sz w:val="21"/>
              </w:rPr>
              <w:t>年、</w:t>
            </w:r>
            <w:r>
              <w:rPr>
                <w:rFonts w:cs="Times New Roman"/>
                <w:color w:val="000000" w:themeColor="text1"/>
                <w:sz w:val="21"/>
              </w:rPr>
              <w:t>2021</w:t>
            </w:r>
            <w:r>
              <w:rPr>
                <w:rFonts w:cs="Times New Roman"/>
                <w:color w:val="000000" w:themeColor="text1"/>
                <w:sz w:val="21"/>
              </w:rPr>
              <w:t>年、</w:t>
            </w:r>
            <w:r>
              <w:rPr>
                <w:rFonts w:cs="Times New Roman"/>
                <w:color w:val="000000" w:themeColor="text1"/>
                <w:sz w:val="21"/>
              </w:rPr>
              <w:t>2022</w:t>
            </w:r>
            <w:r>
              <w:rPr>
                <w:rFonts w:cs="Times New Roman"/>
                <w:color w:val="000000" w:themeColor="text1"/>
                <w:sz w:val="21"/>
              </w:rPr>
              <w:t>年、</w:t>
            </w:r>
            <w:r>
              <w:rPr>
                <w:rFonts w:cs="Times New Roman"/>
                <w:color w:val="000000" w:themeColor="text1"/>
                <w:sz w:val="21"/>
              </w:rPr>
              <w:t>2023</w:t>
            </w:r>
            <w:r>
              <w:rPr>
                <w:rFonts w:cs="Times New Roman"/>
                <w:color w:val="000000" w:themeColor="text1"/>
                <w:sz w:val="21"/>
              </w:rPr>
              <w:t>年</w:t>
            </w:r>
            <w:r>
              <w:rPr>
                <w:rFonts w:cs="Times New Roman"/>
                <w:color w:val="000000" w:themeColor="text1"/>
                <w:sz w:val="21"/>
              </w:rPr>
              <w:t>1-9</w:t>
            </w:r>
            <w:r>
              <w:rPr>
                <w:rFonts w:cs="Times New Roman"/>
                <w:color w:val="000000" w:themeColor="text1"/>
                <w:sz w:val="21"/>
              </w:rPr>
              <w:t>月</w:t>
            </w:r>
          </w:p>
        </w:tc>
      </w:tr>
      <w:tr w:rsidR="003C3FCD">
        <w:trPr>
          <w:trHeight w:val="340"/>
        </w:trPr>
        <w:tc>
          <w:tcPr>
            <w:tcW w:w="2310" w:type="dxa"/>
            <w:vAlign w:val="center"/>
          </w:tcPr>
          <w:p w:rsidR="003C3FCD" w:rsidRDefault="00343C0E">
            <w:pPr>
              <w:rPr>
                <w:rFonts w:cs="Times New Roman"/>
                <w:color w:val="000000" w:themeColor="text1"/>
                <w:sz w:val="21"/>
              </w:rPr>
            </w:pPr>
            <w:r>
              <w:rPr>
                <w:rFonts w:cs="Times New Roman"/>
                <w:color w:val="000000" w:themeColor="text1"/>
                <w:sz w:val="21"/>
              </w:rPr>
              <w:t>元、万元、亿元</w:t>
            </w:r>
          </w:p>
        </w:tc>
        <w:tc>
          <w:tcPr>
            <w:tcW w:w="708" w:type="dxa"/>
            <w:vAlign w:val="center"/>
          </w:tcPr>
          <w:p w:rsidR="003C3FCD" w:rsidRDefault="00343C0E">
            <w:pPr>
              <w:jc w:val="center"/>
              <w:rPr>
                <w:rFonts w:cs="Times New Roman"/>
                <w:color w:val="000000" w:themeColor="text1"/>
                <w:sz w:val="21"/>
              </w:rPr>
            </w:pPr>
            <w:r>
              <w:rPr>
                <w:rFonts w:cs="Times New Roman"/>
                <w:color w:val="000000" w:themeColor="text1"/>
                <w:sz w:val="21"/>
              </w:rPr>
              <w:t>指</w:t>
            </w:r>
          </w:p>
        </w:tc>
        <w:tc>
          <w:tcPr>
            <w:tcW w:w="5466" w:type="dxa"/>
            <w:vAlign w:val="center"/>
          </w:tcPr>
          <w:p w:rsidR="003C3FCD" w:rsidRDefault="00343C0E">
            <w:pPr>
              <w:rPr>
                <w:rFonts w:cs="Times New Roman"/>
                <w:color w:val="000000" w:themeColor="text1"/>
                <w:sz w:val="21"/>
              </w:rPr>
            </w:pPr>
            <w:r>
              <w:rPr>
                <w:rFonts w:cs="Times New Roman"/>
                <w:color w:val="000000" w:themeColor="text1"/>
                <w:sz w:val="21"/>
              </w:rPr>
              <w:t>人民币元、万元、亿元</w:t>
            </w:r>
          </w:p>
        </w:tc>
      </w:tr>
    </w:tbl>
    <w:p w:rsidR="003C3FCD" w:rsidRDefault="00343C0E">
      <w:pPr>
        <w:spacing w:line="360" w:lineRule="auto"/>
        <w:ind w:firstLineChars="200" w:firstLine="420"/>
        <w:rPr>
          <w:rFonts w:cs="Times New Roman"/>
          <w:color w:val="000000" w:themeColor="text1"/>
          <w:sz w:val="21"/>
        </w:rPr>
      </w:pPr>
      <w:r>
        <w:rPr>
          <w:rFonts w:cs="Times New Roman"/>
          <w:color w:val="000000" w:themeColor="text1"/>
          <w:sz w:val="21"/>
        </w:rPr>
        <w:t>本预案中任何表格中若出现总计数与所列数值总和不符，均为四舍五入所致。</w:t>
      </w:r>
    </w:p>
    <w:p w:rsidR="003C3FCD" w:rsidRDefault="003C3FCD">
      <w:pPr>
        <w:spacing w:beforeLines="50" w:before="163" w:afterLines="50" w:after="163" w:line="360" w:lineRule="auto"/>
        <w:rPr>
          <w:rFonts w:cs="Times New Roman"/>
          <w:color w:val="000000" w:themeColor="text1"/>
        </w:rPr>
      </w:pPr>
    </w:p>
    <w:p w:rsidR="003C3FCD" w:rsidRDefault="00343C0E">
      <w:pPr>
        <w:widowControl/>
        <w:jc w:val="left"/>
        <w:rPr>
          <w:rFonts w:cs="Times New Roman"/>
          <w:b/>
          <w:color w:val="000000" w:themeColor="text1"/>
          <w:sz w:val="32"/>
        </w:rPr>
      </w:pPr>
      <w:r>
        <w:rPr>
          <w:rFonts w:cs="Times New Roman"/>
          <w:b/>
          <w:color w:val="000000" w:themeColor="text1"/>
          <w:sz w:val="32"/>
        </w:rPr>
        <w:br w:type="page"/>
      </w:r>
    </w:p>
    <w:p w:rsidR="003C3FCD" w:rsidRDefault="00343C0E">
      <w:pPr>
        <w:pStyle w:val="1"/>
        <w:jc w:val="center"/>
        <w:rPr>
          <w:rFonts w:cs="Times New Roman"/>
          <w:color w:val="000000" w:themeColor="text1"/>
          <w:sz w:val="32"/>
        </w:rPr>
      </w:pPr>
      <w:bookmarkStart w:id="4" w:name="_Toc146198207"/>
      <w:r>
        <w:rPr>
          <w:rFonts w:cs="Times New Roman"/>
          <w:color w:val="000000" w:themeColor="text1"/>
          <w:sz w:val="32"/>
        </w:rPr>
        <w:lastRenderedPageBreak/>
        <w:t>第一节</w:t>
      </w:r>
      <w:r>
        <w:rPr>
          <w:rFonts w:cs="Times New Roman"/>
          <w:color w:val="000000" w:themeColor="text1"/>
          <w:sz w:val="32"/>
        </w:rPr>
        <w:t xml:space="preserve"> </w:t>
      </w:r>
      <w:r>
        <w:rPr>
          <w:rFonts w:cs="Times New Roman"/>
          <w:color w:val="000000" w:themeColor="text1"/>
          <w:sz w:val="32"/>
        </w:rPr>
        <w:t>本次以简易程序向特定对象发行股票方案概要</w:t>
      </w:r>
      <w:bookmarkEnd w:id="4"/>
    </w:p>
    <w:p w:rsidR="003C3FCD" w:rsidRDefault="00343C0E">
      <w:pPr>
        <w:pStyle w:val="2"/>
        <w:spacing w:before="120" w:after="120" w:line="360" w:lineRule="auto"/>
        <w:rPr>
          <w:rFonts w:ascii="Times New Roman" w:eastAsia="黑体" w:hAnsi="Times New Roman" w:cs="Times New Roman"/>
          <w:color w:val="000000" w:themeColor="text1"/>
          <w:sz w:val="28"/>
        </w:rPr>
      </w:pPr>
      <w:bookmarkStart w:id="5" w:name="_Toc146198208"/>
      <w:r>
        <w:rPr>
          <w:rFonts w:ascii="Times New Roman" w:eastAsia="黑体" w:hAnsi="Times New Roman" w:cs="Times New Roman"/>
          <w:color w:val="000000" w:themeColor="text1"/>
          <w:sz w:val="28"/>
        </w:rPr>
        <w:t>一、公司基本情况</w:t>
      </w:r>
      <w:bookmarkEnd w:id="5"/>
      <w:r>
        <w:rPr>
          <w:rFonts w:ascii="Times New Roman" w:eastAsia="黑体" w:hAnsi="Times New Roman" w:cs="Times New Roman"/>
          <w:color w:val="000000" w:themeColor="text1"/>
          <w:sz w:val="28"/>
        </w:rPr>
        <w:tab/>
      </w:r>
    </w:p>
    <w:tbl>
      <w:tblPr>
        <w:tblStyle w:val="ab"/>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75"/>
        <w:gridCol w:w="6301"/>
      </w:tblGrid>
      <w:tr w:rsidR="003C3FCD">
        <w:trPr>
          <w:trHeight w:val="397"/>
          <w:jc w:val="center"/>
        </w:trPr>
        <w:tc>
          <w:tcPr>
            <w:tcW w:w="1980" w:type="dxa"/>
            <w:vAlign w:val="center"/>
          </w:tcPr>
          <w:p w:rsidR="003C3FCD" w:rsidRDefault="00343C0E">
            <w:pPr>
              <w:spacing w:line="276" w:lineRule="auto"/>
              <w:jc w:val="center"/>
              <w:rPr>
                <w:rFonts w:cs="Times New Roman"/>
                <w:b/>
                <w:color w:val="000000" w:themeColor="text1"/>
                <w:sz w:val="21"/>
              </w:rPr>
            </w:pPr>
            <w:r>
              <w:rPr>
                <w:rFonts w:cs="Times New Roman"/>
                <w:b/>
                <w:color w:val="000000" w:themeColor="text1"/>
                <w:sz w:val="21"/>
              </w:rPr>
              <w:t>公司名称</w:t>
            </w:r>
          </w:p>
        </w:tc>
        <w:tc>
          <w:tcPr>
            <w:tcW w:w="6316" w:type="dxa"/>
            <w:vAlign w:val="center"/>
          </w:tcPr>
          <w:p w:rsidR="003C3FCD" w:rsidRDefault="00343C0E">
            <w:pPr>
              <w:spacing w:line="276" w:lineRule="auto"/>
              <w:rPr>
                <w:rFonts w:cs="Times New Roman"/>
                <w:color w:val="000000" w:themeColor="text1"/>
                <w:sz w:val="21"/>
              </w:rPr>
            </w:pPr>
            <w:r>
              <w:rPr>
                <w:rFonts w:cs="Times New Roman"/>
                <w:color w:val="000000" w:themeColor="text1"/>
                <w:sz w:val="21"/>
              </w:rPr>
              <w:t>渤海水业股份有限公司</w:t>
            </w:r>
          </w:p>
        </w:tc>
      </w:tr>
      <w:tr w:rsidR="003C3FCD">
        <w:trPr>
          <w:trHeight w:val="397"/>
          <w:jc w:val="center"/>
        </w:trPr>
        <w:tc>
          <w:tcPr>
            <w:tcW w:w="1980" w:type="dxa"/>
            <w:vAlign w:val="center"/>
          </w:tcPr>
          <w:p w:rsidR="003C3FCD" w:rsidRDefault="00343C0E">
            <w:pPr>
              <w:spacing w:line="276" w:lineRule="auto"/>
              <w:jc w:val="center"/>
              <w:rPr>
                <w:rFonts w:cs="Times New Roman"/>
                <w:b/>
                <w:color w:val="000000" w:themeColor="text1"/>
                <w:sz w:val="21"/>
              </w:rPr>
            </w:pPr>
            <w:r>
              <w:rPr>
                <w:rFonts w:cs="Times New Roman"/>
                <w:b/>
                <w:color w:val="000000" w:themeColor="text1"/>
                <w:sz w:val="21"/>
              </w:rPr>
              <w:t>英文名称</w:t>
            </w:r>
          </w:p>
        </w:tc>
        <w:tc>
          <w:tcPr>
            <w:tcW w:w="6316" w:type="dxa"/>
            <w:vAlign w:val="center"/>
          </w:tcPr>
          <w:p w:rsidR="003C3FCD" w:rsidRDefault="00343C0E">
            <w:pPr>
              <w:spacing w:line="276" w:lineRule="auto"/>
              <w:rPr>
                <w:rFonts w:cs="Times New Roman"/>
                <w:color w:val="000000" w:themeColor="text1"/>
                <w:sz w:val="21"/>
              </w:rPr>
            </w:pPr>
            <w:proofErr w:type="spellStart"/>
            <w:r>
              <w:rPr>
                <w:rFonts w:cs="Times New Roman"/>
                <w:color w:val="000000" w:themeColor="text1"/>
                <w:sz w:val="21"/>
              </w:rPr>
              <w:t>Bohai</w:t>
            </w:r>
            <w:proofErr w:type="spellEnd"/>
            <w:r>
              <w:rPr>
                <w:rFonts w:cs="Times New Roman"/>
                <w:color w:val="000000" w:themeColor="text1"/>
                <w:sz w:val="21"/>
              </w:rPr>
              <w:t xml:space="preserve"> Water Industry Co., Ltd.</w:t>
            </w:r>
          </w:p>
        </w:tc>
      </w:tr>
      <w:tr w:rsidR="003C3FCD">
        <w:trPr>
          <w:trHeight w:val="397"/>
          <w:jc w:val="center"/>
        </w:trPr>
        <w:tc>
          <w:tcPr>
            <w:tcW w:w="1980" w:type="dxa"/>
            <w:vAlign w:val="center"/>
          </w:tcPr>
          <w:p w:rsidR="003C3FCD" w:rsidRDefault="00343C0E">
            <w:pPr>
              <w:spacing w:line="276" w:lineRule="auto"/>
              <w:jc w:val="center"/>
              <w:rPr>
                <w:rFonts w:cs="Times New Roman"/>
                <w:b/>
                <w:color w:val="000000" w:themeColor="text1"/>
                <w:sz w:val="21"/>
              </w:rPr>
            </w:pPr>
            <w:r>
              <w:rPr>
                <w:rFonts w:cs="Times New Roman"/>
                <w:b/>
                <w:color w:val="000000" w:themeColor="text1"/>
                <w:sz w:val="21"/>
              </w:rPr>
              <w:t>上市地点</w:t>
            </w:r>
          </w:p>
        </w:tc>
        <w:tc>
          <w:tcPr>
            <w:tcW w:w="6316" w:type="dxa"/>
            <w:vAlign w:val="center"/>
          </w:tcPr>
          <w:p w:rsidR="003C3FCD" w:rsidRDefault="00343C0E">
            <w:pPr>
              <w:spacing w:line="276" w:lineRule="auto"/>
              <w:rPr>
                <w:rFonts w:cs="Times New Roman"/>
                <w:color w:val="000000" w:themeColor="text1"/>
                <w:sz w:val="21"/>
              </w:rPr>
            </w:pPr>
            <w:r>
              <w:rPr>
                <w:rFonts w:cs="Times New Roman"/>
                <w:color w:val="000000" w:themeColor="text1"/>
                <w:sz w:val="21"/>
              </w:rPr>
              <w:t>深圳证券交易所</w:t>
            </w:r>
          </w:p>
        </w:tc>
      </w:tr>
      <w:tr w:rsidR="003C3FCD">
        <w:trPr>
          <w:trHeight w:val="397"/>
          <w:jc w:val="center"/>
        </w:trPr>
        <w:tc>
          <w:tcPr>
            <w:tcW w:w="1980" w:type="dxa"/>
            <w:vAlign w:val="center"/>
          </w:tcPr>
          <w:p w:rsidR="003C3FCD" w:rsidRDefault="00343C0E">
            <w:pPr>
              <w:spacing w:line="276" w:lineRule="auto"/>
              <w:jc w:val="center"/>
              <w:rPr>
                <w:rFonts w:cs="Times New Roman"/>
                <w:b/>
                <w:color w:val="000000" w:themeColor="text1"/>
                <w:sz w:val="21"/>
              </w:rPr>
            </w:pPr>
            <w:r>
              <w:rPr>
                <w:rFonts w:cs="Times New Roman"/>
                <w:b/>
                <w:color w:val="000000" w:themeColor="text1"/>
                <w:sz w:val="21"/>
              </w:rPr>
              <w:t>股票简称</w:t>
            </w:r>
          </w:p>
        </w:tc>
        <w:tc>
          <w:tcPr>
            <w:tcW w:w="6316" w:type="dxa"/>
            <w:vAlign w:val="center"/>
          </w:tcPr>
          <w:p w:rsidR="003C3FCD" w:rsidRDefault="00343C0E">
            <w:pPr>
              <w:spacing w:line="276" w:lineRule="auto"/>
              <w:rPr>
                <w:rFonts w:cs="Times New Roman"/>
                <w:color w:val="000000" w:themeColor="text1"/>
                <w:sz w:val="21"/>
              </w:rPr>
            </w:pPr>
            <w:r>
              <w:rPr>
                <w:rFonts w:cs="Times New Roman"/>
                <w:color w:val="000000" w:themeColor="text1"/>
                <w:sz w:val="21"/>
              </w:rPr>
              <w:t>渤海股份</w:t>
            </w:r>
          </w:p>
        </w:tc>
      </w:tr>
      <w:tr w:rsidR="003C3FCD">
        <w:trPr>
          <w:trHeight w:val="397"/>
          <w:jc w:val="center"/>
        </w:trPr>
        <w:tc>
          <w:tcPr>
            <w:tcW w:w="1980" w:type="dxa"/>
            <w:vAlign w:val="center"/>
          </w:tcPr>
          <w:p w:rsidR="003C3FCD" w:rsidRDefault="00343C0E">
            <w:pPr>
              <w:spacing w:line="276" w:lineRule="auto"/>
              <w:jc w:val="center"/>
              <w:rPr>
                <w:rFonts w:cs="Times New Roman"/>
                <w:b/>
                <w:color w:val="000000" w:themeColor="text1"/>
                <w:sz w:val="21"/>
              </w:rPr>
            </w:pPr>
            <w:r>
              <w:rPr>
                <w:rFonts w:cs="Times New Roman"/>
                <w:b/>
                <w:color w:val="000000" w:themeColor="text1"/>
                <w:sz w:val="21"/>
              </w:rPr>
              <w:t>股票代码</w:t>
            </w:r>
          </w:p>
        </w:tc>
        <w:tc>
          <w:tcPr>
            <w:tcW w:w="6316" w:type="dxa"/>
            <w:vAlign w:val="center"/>
          </w:tcPr>
          <w:p w:rsidR="003C3FCD" w:rsidRDefault="00343C0E">
            <w:pPr>
              <w:spacing w:line="276" w:lineRule="auto"/>
              <w:rPr>
                <w:rFonts w:cs="Times New Roman"/>
                <w:color w:val="000000" w:themeColor="text1"/>
                <w:sz w:val="21"/>
              </w:rPr>
            </w:pPr>
            <w:r>
              <w:rPr>
                <w:rFonts w:cs="Times New Roman"/>
                <w:color w:val="000000" w:themeColor="text1"/>
                <w:sz w:val="21"/>
              </w:rPr>
              <w:t>000605</w:t>
            </w:r>
          </w:p>
        </w:tc>
      </w:tr>
      <w:tr w:rsidR="003C3FCD">
        <w:trPr>
          <w:trHeight w:val="397"/>
          <w:jc w:val="center"/>
        </w:trPr>
        <w:tc>
          <w:tcPr>
            <w:tcW w:w="1980" w:type="dxa"/>
            <w:vAlign w:val="center"/>
          </w:tcPr>
          <w:p w:rsidR="003C3FCD" w:rsidRDefault="00343C0E">
            <w:pPr>
              <w:spacing w:line="276" w:lineRule="auto"/>
              <w:jc w:val="center"/>
              <w:rPr>
                <w:rFonts w:cs="Times New Roman"/>
                <w:b/>
                <w:color w:val="000000" w:themeColor="text1"/>
                <w:sz w:val="21"/>
              </w:rPr>
            </w:pPr>
            <w:r>
              <w:rPr>
                <w:rFonts w:cs="Times New Roman"/>
                <w:b/>
                <w:color w:val="000000" w:themeColor="text1"/>
                <w:sz w:val="21"/>
              </w:rPr>
              <w:t>股本</w:t>
            </w:r>
          </w:p>
        </w:tc>
        <w:tc>
          <w:tcPr>
            <w:tcW w:w="6316" w:type="dxa"/>
            <w:vAlign w:val="center"/>
          </w:tcPr>
          <w:p w:rsidR="003C3FCD" w:rsidRDefault="00343C0E">
            <w:pPr>
              <w:spacing w:line="276" w:lineRule="auto"/>
              <w:rPr>
                <w:rFonts w:cs="Times New Roman"/>
                <w:color w:val="000000" w:themeColor="text1"/>
                <w:sz w:val="21"/>
              </w:rPr>
            </w:pPr>
            <w:r>
              <w:rPr>
                <w:rFonts w:cs="Times New Roman"/>
                <w:color w:val="000000" w:themeColor="text1"/>
                <w:sz w:val="21"/>
              </w:rPr>
              <w:t>352,658,600</w:t>
            </w:r>
            <w:r>
              <w:rPr>
                <w:rFonts w:cs="Times New Roman"/>
                <w:color w:val="000000" w:themeColor="text1"/>
                <w:sz w:val="21"/>
              </w:rPr>
              <w:t>元</w:t>
            </w:r>
          </w:p>
        </w:tc>
      </w:tr>
      <w:tr w:rsidR="003C3FCD">
        <w:trPr>
          <w:trHeight w:val="397"/>
          <w:jc w:val="center"/>
        </w:trPr>
        <w:tc>
          <w:tcPr>
            <w:tcW w:w="1980" w:type="dxa"/>
            <w:vAlign w:val="center"/>
          </w:tcPr>
          <w:p w:rsidR="003C3FCD" w:rsidRDefault="00343C0E">
            <w:pPr>
              <w:spacing w:line="276" w:lineRule="auto"/>
              <w:jc w:val="center"/>
              <w:rPr>
                <w:rFonts w:cs="Times New Roman"/>
                <w:b/>
                <w:color w:val="000000" w:themeColor="text1"/>
                <w:sz w:val="21"/>
              </w:rPr>
            </w:pPr>
            <w:r>
              <w:rPr>
                <w:rFonts w:cs="Times New Roman"/>
                <w:b/>
                <w:color w:val="000000" w:themeColor="text1"/>
                <w:sz w:val="21"/>
              </w:rPr>
              <w:t>成立日期</w:t>
            </w:r>
          </w:p>
        </w:tc>
        <w:tc>
          <w:tcPr>
            <w:tcW w:w="6316" w:type="dxa"/>
            <w:vAlign w:val="center"/>
          </w:tcPr>
          <w:p w:rsidR="003C3FCD" w:rsidRDefault="00343C0E">
            <w:pPr>
              <w:spacing w:line="276" w:lineRule="auto"/>
              <w:rPr>
                <w:rFonts w:cs="Times New Roman"/>
                <w:color w:val="000000" w:themeColor="text1"/>
                <w:sz w:val="21"/>
              </w:rPr>
            </w:pPr>
            <w:r>
              <w:rPr>
                <w:rFonts w:cs="Times New Roman"/>
                <w:color w:val="000000" w:themeColor="text1"/>
                <w:sz w:val="21"/>
              </w:rPr>
              <w:t>1996</w:t>
            </w:r>
            <w:r>
              <w:rPr>
                <w:rFonts w:cs="Times New Roman"/>
                <w:color w:val="000000" w:themeColor="text1"/>
                <w:sz w:val="21"/>
              </w:rPr>
              <w:t>年</w:t>
            </w:r>
            <w:r>
              <w:rPr>
                <w:rFonts w:cs="Times New Roman"/>
                <w:color w:val="000000" w:themeColor="text1"/>
                <w:sz w:val="21"/>
              </w:rPr>
              <w:t>9</w:t>
            </w:r>
            <w:r>
              <w:rPr>
                <w:rFonts w:cs="Times New Roman"/>
                <w:color w:val="000000" w:themeColor="text1"/>
                <w:sz w:val="21"/>
              </w:rPr>
              <w:t>月</w:t>
            </w:r>
            <w:r>
              <w:rPr>
                <w:rFonts w:cs="Times New Roman"/>
                <w:color w:val="000000" w:themeColor="text1"/>
                <w:sz w:val="21"/>
              </w:rPr>
              <w:t>10</w:t>
            </w:r>
            <w:r>
              <w:rPr>
                <w:rFonts w:cs="Times New Roman"/>
                <w:color w:val="000000" w:themeColor="text1"/>
                <w:sz w:val="21"/>
              </w:rPr>
              <w:t>日</w:t>
            </w:r>
          </w:p>
        </w:tc>
      </w:tr>
      <w:tr w:rsidR="003C3FCD">
        <w:trPr>
          <w:trHeight w:val="397"/>
          <w:jc w:val="center"/>
        </w:trPr>
        <w:tc>
          <w:tcPr>
            <w:tcW w:w="1980" w:type="dxa"/>
            <w:vAlign w:val="center"/>
          </w:tcPr>
          <w:p w:rsidR="003C3FCD" w:rsidRDefault="00343C0E">
            <w:pPr>
              <w:spacing w:line="276" w:lineRule="auto"/>
              <w:jc w:val="center"/>
              <w:rPr>
                <w:rFonts w:cs="Times New Roman"/>
                <w:b/>
                <w:color w:val="000000" w:themeColor="text1"/>
                <w:sz w:val="21"/>
              </w:rPr>
            </w:pPr>
            <w:r>
              <w:rPr>
                <w:rFonts w:cs="Times New Roman"/>
                <w:b/>
                <w:color w:val="000000" w:themeColor="text1"/>
                <w:sz w:val="21"/>
              </w:rPr>
              <w:t>上市日期</w:t>
            </w:r>
          </w:p>
        </w:tc>
        <w:tc>
          <w:tcPr>
            <w:tcW w:w="6316" w:type="dxa"/>
            <w:vAlign w:val="center"/>
          </w:tcPr>
          <w:p w:rsidR="003C3FCD" w:rsidRDefault="00343C0E">
            <w:pPr>
              <w:spacing w:line="276" w:lineRule="auto"/>
              <w:rPr>
                <w:rFonts w:cs="Times New Roman"/>
                <w:color w:val="000000" w:themeColor="text1"/>
                <w:sz w:val="21"/>
              </w:rPr>
            </w:pPr>
            <w:r>
              <w:rPr>
                <w:rFonts w:cs="Times New Roman"/>
                <w:color w:val="000000" w:themeColor="text1"/>
                <w:sz w:val="21"/>
              </w:rPr>
              <w:t>1996</w:t>
            </w:r>
            <w:r>
              <w:rPr>
                <w:rFonts w:cs="Times New Roman"/>
                <w:color w:val="000000" w:themeColor="text1"/>
                <w:sz w:val="21"/>
              </w:rPr>
              <w:t>年</w:t>
            </w:r>
            <w:r>
              <w:rPr>
                <w:rFonts w:cs="Times New Roman"/>
                <w:color w:val="000000" w:themeColor="text1"/>
                <w:sz w:val="21"/>
              </w:rPr>
              <w:t>9</w:t>
            </w:r>
            <w:r>
              <w:rPr>
                <w:rFonts w:cs="Times New Roman"/>
                <w:color w:val="000000" w:themeColor="text1"/>
                <w:sz w:val="21"/>
              </w:rPr>
              <w:t>月</w:t>
            </w:r>
            <w:r>
              <w:rPr>
                <w:rFonts w:cs="Times New Roman"/>
                <w:color w:val="000000" w:themeColor="text1"/>
                <w:sz w:val="21"/>
              </w:rPr>
              <w:t>13</w:t>
            </w:r>
            <w:r>
              <w:rPr>
                <w:rFonts w:cs="Times New Roman"/>
                <w:color w:val="000000" w:themeColor="text1"/>
                <w:sz w:val="21"/>
              </w:rPr>
              <w:t>日</w:t>
            </w:r>
          </w:p>
        </w:tc>
      </w:tr>
      <w:tr w:rsidR="003C3FCD">
        <w:trPr>
          <w:trHeight w:val="397"/>
          <w:jc w:val="center"/>
        </w:trPr>
        <w:tc>
          <w:tcPr>
            <w:tcW w:w="1980" w:type="dxa"/>
            <w:vAlign w:val="center"/>
          </w:tcPr>
          <w:p w:rsidR="003C3FCD" w:rsidRDefault="00343C0E">
            <w:pPr>
              <w:spacing w:line="276" w:lineRule="auto"/>
              <w:jc w:val="center"/>
              <w:rPr>
                <w:rFonts w:cs="Times New Roman"/>
                <w:b/>
                <w:color w:val="000000" w:themeColor="text1"/>
                <w:sz w:val="21"/>
              </w:rPr>
            </w:pPr>
            <w:r>
              <w:rPr>
                <w:rFonts w:cs="Times New Roman"/>
                <w:b/>
                <w:color w:val="000000" w:themeColor="text1"/>
                <w:sz w:val="21"/>
              </w:rPr>
              <w:t>法定代表人</w:t>
            </w:r>
          </w:p>
        </w:tc>
        <w:tc>
          <w:tcPr>
            <w:tcW w:w="6316" w:type="dxa"/>
            <w:vAlign w:val="center"/>
          </w:tcPr>
          <w:p w:rsidR="003C3FCD" w:rsidRDefault="00343C0E">
            <w:pPr>
              <w:spacing w:line="276" w:lineRule="auto"/>
              <w:rPr>
                <w:rFonts w:cs="Times New Roman"/>
                <w:color w:val="000000" w:themeColor="text1"/>
                <w:sz w:val="21"/>
              </w:rPr>
            </w:pPr>
            <w:r>
              <w:rPr>
                <w:rFonts w:cs="Times New Roman"/>
                <w:color w:val="000000" w:themeColor="text1"/>
                <w:sz w:val="21"/>
              </w:rPr>
              <w:t>王新玲</w:t>
            </w:r>
          </w:p>
        </w:tc>
      </w:tr>
      <w:tr w:rsidR="003C3FCD">
        <w:trPr>
          <w:trHeight w:val="397"/>
          <w:jc w:val="center"/>
        </w:trPr>
        <w:tc>
          <w:tcPr>
            <w:tcW w:w="1980" w:type="dxa"/>
            <w:vAlign w:val="center"/>
          </w:tcPr>
          <w:p w:rsidR="003C3FCD" w:rsidRDefault="00343C0E">
            <w:pPr>
              <w:spacing w:line="276" w:lineRule="auto"/>
              <w:jc w:val="center"/>
              <w:rPr>
                <w:rFonts w:cs="Times New Roman"/>
                <w:b/>
                <w:color w:val="000000" w:themeColor="text1"/>
                <w:sz w:val="21"/>
              </w:rPr>
            </w:pPr>
            <w:r>
              <w:rPr>
                <w:rFonts w:cs="Times New Roman"/>
                <w:b/>
                <w:color w:val="000000" w:themeColor="text1"/>
                <w:sz w:val="21"/>
              </w:rPr>
              <w:t>统一社会信用代码</w:t>
            </w:r>
          </w:p>
        </w:tc>
        <w:tc>
          <w:tcPr>
            <w:tcW w:w="6316" w:type="dxa"/>
            <w:vAlign w:val="center"/>
          </w:tcPr>
          <w:p w:rsidR="003C3FCD" w:rsidRDefault="00343C0E">
            <w:pPr>
              <w:spacing w:line="276" w:lineRule="auto"/>
              <w:rPr>
                <w:rFonts w:cs="Times New Roman"/>
                <w:color w:val="000000" w:themeColor="text1"/>
                <w:sz w:val="21"/>
              </w:rPr>
            </w:pPr>
            <w:r>
              <w:rPr>
                <w:rFonts w:cs="Times New Roman"/>
                <w:color w:val="000000" w:themeColor="text1"/>
                <w:sz w:val="21"/>
              </w:rPr>
              <w:t>911100001000238085</w:t>
            </w:r>
          </w:p>
        </w:tc>
      </w:tr>
      <w:tr w:rsidR="003C3FCD">
        <w:trPr>
          <w:trHeight w:val="397"/>
          <w:jc w:val="center"/>
        </w:trPr>
        <w:tc>
          <w:tcPr>
            <w:tcW w:w="1980" w:type="dxa"/>
            <w:vAlign w:val="center"/>
          </w:tcPr>
          <w:p w:rsidR="003C3FCD" w:rsidRDefault="00343C0E">
            <w:pPr>
              <w:spacing w:line="276" w:lineRule="auto"/>
              <w:jc w:val="center"/>
              <w:rPr>
                <w:rFonts w:cs="Times New Roman"/>
                <w:b/>
                <w:color w:val="000000" w:themeColor="text1"/>
                <w:sz w:val="21"/>
              </w:rPr>
            </w:pPr>
            <w:r>
              <w:rPr>
                <w:rFonts w:cs="Times New Roman"/>
                <w:b/>
                <w:color w:val="000000" w:themeColor="text1"/>
                <w:sz w:val="21"/>
              </w:rPr>
              <w:t>注册地址</w:t>
            </w:r>
          </w:p>
        </w:tc>
        <w:tc>
          <w:tcPr>
            <w:tcW w:w="6316" w:type="dxa"/>
            <w:vAlign w:val="center"/>
          </w:tcPr>
          <w:p w:rsidR="003C3FCD" w:rsidRDefault="00343C0E">
            <w:pPr>
              <w:spacing w:line="276" w:lineRule="auto"/>
              <w:rPr>
                <w:rFonts w:cs="Times New Roman"/>
                <w:color w:val="000000" w:themeColor="text1"/>
                <w:sz w:val="21"/>
              </w:rPr>
            </w:pPr>
            <w:r>
              <w:rPr>
                <w:rFonts w:cs="Times New Roman"/>
                <w:color w:val="000000" w:themeColor="text1"/>
                <w:sz w:val="21"/>
              </w:rPr>
              <w:t>北京市顺义区中关村科技园</w:t>
            </w:r>
            <w:proofErr w:type="gramStart"/>
            <w:r>
              <w:rPr>
                <w:rFonts w:cs="Times New Roman"/>
                <w:color w:val="000000" w:themeColor="text1"/>
                <w:sz w:val="21"/>
              </w:rPr>
              <w:t>顺义园</w:t>
            </w:r>
            <w:proofErr w:type="gramEnd"/>
            <w:r>
              <w:rPr>
                <w:rFonts w:cs="Times New Roman"/>
                <w:color w:val="000000" w:themeColor="text1"/>
                <w:sz w:val="21"/>
              </w:rPr>
              <w:t>临空二路</w:t>
            </w:r>
            <w:r>
              <w:rPr>
                <w:rFonts w:cs="Times New Roman"/>
                <w:color w:val="000000" w:themeColor="text1"/>
                <w:sz w:val="21"/>
              </w:rPr>
              <w:t>1</w:t>
            </w:r>
            <w:r>
              <w:rPr>
                <w:rFonts w:cs="Times New Roman"/>
                <w:color w:val="000000" w:themeColor="text1"/>
                <w:sz w:val="21"/>
              </w:rPr>
              <w:t>号</w:t>
            </w:r>
          </w:p>
        </w:tc>
      </w:tr>
      <w:tr w:rsidR="003C3FCD">
        <w:trPr>
          <w:trHeight w:val="397"/>
          <w:jc w:val="center"/>
        </w:trPr>
        <w:tc>
          <w:tcPr>
            <w:tcW w:w="1980" w:type="dxa"/>
            <w:vAlign w:val="center"/>
          </w:tcPr>
          <w:p w:rsidR="003C3FCD" w:rsidRDefault="00343C0E">
            <w:pPr>
              <w:spacing w:line="276" w:lineRule="auto"/>
              <w:jc w:val="center"/>
              <w:rPr>
                <w:rFonts w:cs="Times New Roman"/>
                <w:b/>
                <w:color w:val="000000" w:themeColor="text1"/>
                <w:sz w:val="21"/>
              </w:rPr>
            </w:pPr>
            <w:r>
              <w:rPr>
                <w:rFonts w:cs="Times New Roman"/>
                <w:b/>
                <w:color w:val="000000" w:themeColor="text1"/>
                <w:sz w:val="21"/>
              </w:rPr>
              <w:t>办公地址</w:t>
            </w:r>
          </w:p>
        </w:tc>
        <w:tc>
          <w:tcPr>
            <w:tcW w:w="6316" w:type="dxa"/>
            <w:vAlign w:val="center"/>
          </w:tcPr>
          <w:p w:rsidR="003C3FCD" w:rsidRDefault="00343C0E">
            <w:pPr>
              <w:spacing w:line="276" w:lineRule="auto"/>
              <w:rPr>
                <w:rFonts w:cs="Times New Roman"/>
                <w:color w:val="000000" w:themeColor="text1"/>
                <w:sz w:val="21"/>
              </w:rPr>
            </w:pPr>
            <w:r>
              <w:rPr>
                <w:rFonts w:cs="Times New Roman"/>
                <w:color w:val="000000" w:themeColor="text1"/>
                <w:sz w:val="21"/>
              </w:rPr>
              <w:t>北京顺义区南法信镇机场北街</w:t>
            </w:r>
            <w:r>
              <w:rPr>
                <w:rFonts w:cs="Times New Roman"/>
                <w:color w:val="000000" w:themeColor="text1"/>
                <w:sz w:val="21"/>
              </w:rPr>
              <w:t>8</w:t>
            </w:r>
            <w:r>
              <w:rPr>
                <w:rFonts w:cs="Times New Roman"/>
                <w:color w:val="000000" w:themeColor="text1"/>
                <w:sz w:val="21"/>
              </w:rPr>
              <w:t>号院</w:t>
            </w:r>
            <w:r>
              <w:rPr>
                <w:rFonts w:cs="Times New Roman"/>
                <w:color w:val="000000" w:themeColor="text1"/>
                <w:sz w:val="21"/>
              </w:rPr>
              <w:t>2</w:t>
            </w:r>
            <w:r>
              <w:rPr>
                <w:rFonts w:cs="Times New Roman"/>
                <w:color w:val="000000" w:themeColor="text1"/>
                <w:sz w:val="21"/>
              </w:rPr>
              <w:t>幢航港国际大厦</w:t>
            </w:r>
            <w:r>
              <w:rPr>
                <w:rFonts w:cs="Times New Roman"/>
                <w:color w:val="000000" w:themeColor="text1"/>
                <w:sz w:val="21"/>
              </w:rPr>
              <w:t>9</w:t>
            </w:r>
            <w:r>
              <w:rPr>
                <w:rFonts w:cs="Times New Roman"/>
                <w:color w:val="000000" w:themeColor="text1"/>
                <w:sz w:val="21"/>
              </w:rPr>
              <w:t>层</w:t>
            </w:r>
            <w:r>
              <w:rPr>
                <w:rFonts w:cs="Times New Roman"/>
                <w:color w:val="000000" w:themeColor="text1"/>
                <w:sz w:val="21"/>
              </w:rPr>
              <w:t>902</w:t>
            </w:r>
          </w:p>
        </w:tc>
      </w:tr>
      <w:tr w:rsidR="003C3FCD">
        <w:trPr>
          <w:trHeight w:val="397"/>
          <w:jc w:val="center"/>
        </w:trPr>
        <w:tc>
          <w:tcPr>
            <w:tcW w:w="1980" w:type="dxa"/>
            <w:vAlign w:val="center"/>
          </w:tcPr>
          <w:p w:rsidR="003C3FCD" w:rsidRDefault="00343C0E">
            <w:pPr>
              <w:spacing w:line="276" w:lineRule="auto"/>
              <w:jc w:val="center"/>
              <w:rPr>
                <w:rFonts w:cs="Times New Roman"/>
                <w:b/>
                <w:color w:val="000000" w:themeColor="text1"/>
                <w:sz w:val="21"/>
              </w:rPr>
            </w:pPr>
            <w:r>
              <w:rPr>
                <w:rFonts w:cs="Times New Roman"/>
                <w:b/>
                <w:color w:val="000000" w:themeColor="text1"/>
                <w:sz w:val="21"/>
              </w:rPr>
              <w:t>邮政编码</w:t>
            </w:r>
          </w:p>
        </w:tc>
        <w:tc>
          <w:tcPr>
            <w:tcW w:w="6316" w:type="dxa"/>
            <w:vAlign w:val="center"/>
          </w:tcPr>
          <w:p w:rsidR="003C3FCD" w:rsidRDefault="00343C0E">
            <w:pPr>
              <w:spacing w:line="276" w:lineRule="auto"/>
              <w:rPr>
                <w:rFonts w:cs="Times New Roman"/>
                <w:color w:val="000000" w:themeColor="text1"/>
                <w:sz w:val="21"/>
              </w:rPr>
            </w:pPr>
            <w:r>
              <w:rPr>
                <w:rFonts w:cs="Times New Roman"/>
                <w:color w:val="000000" w:themeColor="text1"/>
                <w:sz w:val="21"/>
              </w:rPr>
              <w:t>101300</w:t>
            </w:r>
          </w:p>
        </w:tc>
      </w:tr>
      <w:tr w:rsidR="003C3FCD">
        <w:trPr>
          <w:trHeight w:val="397"/>
          <w:jc w:val="center"/>
        </w:trPr>
        <w:tc>
          <w:tcPr>
            <w:tcW w:w="1980" w:type="dxa"/>
            <w:vAlign w:val="center"/>
          </w:tcPr>
          <w:p w:rsidR="003C3FCD" w:rsidRDefault="00343C0E">
            <w:pPr>
              <w:spacing w:line="276" w:lineRule="auto"/>
              <w:jc w:val="center"/>
              <w:rPr>
                <w:rFonts w:cs="Times New Roman"/>
                <w:b/>
                <w:color w:val="000000" w:themeColor="text1"/>
                <w:sz w:val="21"/>
              </w:rPr>
            </w:pPr>
            <w:r>
              <w:rPr>
                <w:rFonts w:cs="Times New Roman"/>
                <w:b/>
                <w:color w:val="000000" w:themeColor="text1"/>
                <w:sz w:val="21"/>
              </w:rPr>
              <w:t>电话</w:t>
            </w:r>
          </w:p>
        </w:tc>
        <w:tc>
          <w:tcPr>
            <w:tcW w:w="6316" w:type="dxa"/>
            <w:vAlign w:val="center"/>
          </w:tcPr>
          <w:p w:rsidR="003C3FCD" w:rsidRDefault="00343C0E">
            <w:pPr>
              <w:spacing w:line="276" w:lineRule="auto"/>
              <w:rPr>
                <w:rFonts w:cs="Times New Roman"/>
                <w:color w:val="000000" w:themeColor="text1"/>
                <w:sz w:val="21"/>
              </w:rPr>
            </w:pPr>
            <w:r>
              <w:rPr>
                <w:rFonts w:cs="Times New Roman"/>
                <w:color w:val="000000" w:themeColor="text1"/>
                <w:sz w:val="21"/>
              </w:rPr>
              <w:t>86-10-89586598</w:t>
            </w:r>
          </w:p>
        </w:tc>
      </w:tr>
      <w:tr w:rsidR="003C3FCD">
        <w:trPr>
          <w:trHeight w:val="397"/>
          <w:jc w:val="center"/>
        </w:trPr>
        <w:tc>
          <w:tcPr>
            <w:tcW w:w="1980" w:type="dxa"/>
            <w:vAlign w:val="center"/>
          </w:tcPr>
          <w:p w:rsidR="003C3FCD" w:rsidRDefault="00343C0E">
            <w:pPr>
              <w:spacing w:line="276" w:lineRule="auto"/>
              <w:jc w:val="center"/>
              <w:rPr>
                <w:rFonts w:cs="Times New Roman"/>
                <w:b/>
                <w:color w:val="000000" w:themeColor="text1"/>
                <w:sz w:val="21"/>
              </w:rPr>
            </w:pPr>
            <w:r>
              <w:rPr>
                <w:rFonts w:cs="Times New Roman"/>
                <w:b/>
                <w:color w:val="000000" w:themeColor="text1"/>
                <w:sz w:val="21"/>
              </w:rPr>
              <w:t>传真</w:t>
            </w:r>
          </w:p>
        </w:tc>
        <w:tc>
          <w:tcPr>
            <w:tcW w:w="6316" w:type="dxa"/>
            <w:vAlign w:val="center"/>
          </w:tcPr>
          <w:p w:rsidR="003C3FCD" w:rsidRDefault="00343C0E">
            <w:pPr>
              <w:spacing w:line="276" w:lineRule="auto"/>
              <w:rPr>
                <w:rFonts w:cs="Times New Roman"/>
                <w:color w:val="000000" w:themeColor="text1"/>
                <w:sz w:val="21"/>
              </w:rPr>
            </w:pPr>
            <w:r>
              <w:rPr>
                <w:rFonts w:cs="Times New Roman"/>
                <w:color w:val="000000" w:themeColor="text1"/>
                <w:sz w:val="21"/>
              </w:rPr>
              <w:t>86-10-89586920</w:t>
            </w:r>
          </w:p>
        </w:tc>
      </w:tr>
      <w:tr w:rsidR="003C3FCD">
        <w:trPr>
          <w:trHeight w:val="397"/>
          <w:jc w:val="center"/>
        </w:trPr>
        <w:tc>
          <w:tcPr>
            <w:tcW w:w="1980" w:type="dxa"/>
            <w:vAlign w:val="center"/>
          </w:tcPr>
          <w:p w:rsidR="003C3FCD" w:rsidRDefault="00343C0E">
            <w:pPr>
              <w:spacing w:line="276" w:lineRule="auto"/>
              <w:jc w:val="center"/>
              <w:rPr>
                <w:rFonts w:cs="Times New Roman"/>
                <w:b/>
                <w:color w:val="000000" w:themeColor="text1"/>
                <w:sz w:val="21"/>
              </w:rPr>
            </w:pPr>
            <w:r>
              <w:rPr>
                <w:rFonts w:cs="Times New Roman"/>
                <w:b/>
                <w:color w:val="000000" w:themeColor="text1"/>
                <w:sz w:val="21"/>
              </w:rPr>
              <w:t>电子邮箱</w:t>
            </w:r>
          </w:p>
        </w:tc>
        <w:tc>
          <w:tcPr>
            <w:tcW w:w="6316" w:type="dxa"/>
            <w:vAlign w:val="center"/>
          </w:tcPr>
          <w:p w:rsidR="003C3FCD" w:rsidRDefault="00343C0E">
            <w:pPr>
              <w:spacing w:line="276" w:lineRule="auto"/>
              <w:rPr>
                <w:rFonts w:cs="Times New Roman"/>
                <w:color w:val="000000" w:themeColor="text1"/>
                <w:sz w:val="21"/>
              </w:rPr>
            </w:pPr>
            <w:r>
              <w:rPr>
                <w:rFonts w:cs="Times New Roman"/>
                <w:color w:val="000000" w:themeColor="text1"/>
                <w:sz w:val="21"/>
              </w:rPr>
              <w:t>dongmi@bohai-water.com</w:t>
            </w:r>
          </w:p>
        </w:tc>
      </w:tr>
      <w:tr w:rsidR="003C3FCD">
        <w:trPr>
          <w:trHeight w:val="397"/>
          <w:jc w:val="center"/>
        </w:trPr>
        <w:tc>
          <w:tcPr>
            <w:tcW w:w="1980" w:type="dxa"/>
            <w:vAlign w:val="center"/>
          </w:tcPr>
          <w:p w:rsidR="003C3FCD" w:rsidRDefault="00343C0E">
            <w:pPr>
              <w:spacing w:line="276" w:lineRule="auto"/>
              <w:jc w:val="center"/>
              <w:rPr>
                <w:rFonts w:cs="Times New Roman"/>
                <w:b/>
                <w:color w:val="000000" w:themeColor="text1"/>
                <w:sz w:val="21"/>
              </w:rPr>
            </w:pPr>
            <w:r>
              <w:rPr>
                <w:rFonts w:cs="Times New Roman"/>
                <w:b/>
                <w:color w:val="000000" w:themeColor="text1"/>
                <w:sz w:val="21"/>
              </w:rPr>
              <w:t>经营范围</w:t>
            </w:r>
          </w:p>
        </w:tc>
        <w:tc>
          <w:tcPr>
            <w:tcW w:w="6316" w:type="dxa"/>
            <w:vAlign w:val="center"/>
          </w:tcPr>
          <w:p w:rsidR="003C3FCD" w:rsidRDefault="00343C0E">
            <w:pPr>
              <w:spacing w:line="276" w:lineRule="auto"/>
              <w:rPr>
                <w:rFonts w:cs="Times New Roman"/>
                <w:color w:val="000000" w:themeColor="text1"/>
                <w:sz w:val="21"/>
              </w:rPr>
            </w:pPr>
            <w:r>
              <w:rPr>
                <w:rFonts w:cs="Times New Roman"/>
                <w:color w:val="000000" w:themeColor="text1"/>
                <w:sz w:val="21"/>
              </w:rPr>
              <w:t>工程设计；施工总承包、专业承包、劳务分包；城乡公用基础设施、水土环境治理及环保项目、供水、污水治理及再生水利用的投资；投资咨询；投资管理；技术开发；技术咨询；技术服务；技术推广；企业管理。</w:t>
            </w:r>
            <w:r>
              <w:rPr>
                <w:rFonts w:cs="Times New Roman" w:hint="eastAsia"/>
                <w:color w:val="000000" w:themeColor="text1"/>
                <w:sz w:val="21"/>
              </w:rPr>
              <w:t>（</w:t>
            </w:r>
            <w:r>
              <w:rPr>
                <w:rFonts w:cs="Times New Roman"/>
                <w:color w:val="000000" w:themeColor="text1"/>
                <w:sz w:val="21"/>
              </w:rPr>
              <w:t>领取本执照后，应到市规划委、市住建委取得行政许可；企业依法自主选择经营项目，开展经营活动；依法须经批准的项目，经相关部门批准后依批准的内容开展经营活动；不得从事本市产业政策禁止和限制类项目的经营活动。</w:t>
            </w:r>
            <w:r>
              <w:rPr>
                <w:rFonts w:cs="Times New Roman" w:hint="eastAsia"/>
                <w:color w:val="000000" w:themeColor="text1"/>
                <w:sz w:val="21"/>
              </w:rPr>
              <w:t>）</w:t>
            </w:r>
          </w:p>
        </w:tc>
      </w:tr>
    </w:tbl>
    <w:p w:rsidR="003C3FCD" w:rsidRDefault="00343C0E">
      <w:pPr>
        <w:pStyle w:val="2"/>
        <w:spacing w:before="120" w:after="120" w:line="360" w:lineRule="auto"/>
        <w:rPr>
          <w:rFonts w:ascii="Times New Roman" w:eastAsia="黑体" w:hAnsi="Times New Roman" w:cs="Times New Roman"/>
          <w:color w:val="000000" w:themeColor="text1"/>
          <w:sz w:val="28"/>
        </w:rPr>
      </w:pPr>
      <w:bookmarkStart w:id="6" w:name="_Toc146198209"/>
      <w:r>
        <w:rPr>
          <w:rFonts w:ascii="Times New Roman" w:eastAsia="黑体" w:hAnsi="Times New Roman" w:cs="Times New Roman"/>
          <w:color w:val="000000" w:themeColor="text1"/>
          <w:sz w:val="28"/>
        </w:rPr>
        <w:t>二、本次发行的背景和目的</w:t>
      </w:r>
      <w:r>
        <w:rPr>
          <w:rFonts w:ascii="Times New Roman" w:eastAsia="黑体" w:hAnsi="Times New Roman" w:cs="Times New Roman"/>
          <w:color w:val="000000" w:themeColor="text1"/>
          <w:sz w:val="28"/>
        </w:rPr>
        <w:tab/>
      </w:r>
      <w:bookmarkEnd w:id="6"/>
    </w:p>
    <w:p w:rsidR="003C3FCD" w:rsidRDefault="00343C0E">
      <w:pPr>
        <w:pStyle w:val="3"/>
        <w:spacing w:before="120" w:after="120" w:line="360" w:lineRule="auto"/>
        <w:ind w:firstLineChars="200" w:firstLine="482"/>
        <w:rPr>
          <w:rFonts w:cs="Times New Roman"/>
          <w:color w:val="000000" w:themeColor="text1"/>
          <w:sz w:val="24"/>
        </w:rPr>
      </w:pPr>
      <w:r>
        <w:rPr>
          <w:rFonts w:cs="Times New Roman"/>
          <w:color w:val="000000" w:themeColor="text1"/>
          <w:sz w:val="24"/>
        </w:rPr>
        <w:t>（一）本次发行的背景</w:t>
      </w:r>
    </w:p>
    <w:p w:rsidR="003C3FCD" w:rsidRDefault="00343C0E">
      <w:pPr>
        <w:spacing w:beforeLines="50" w:before="163" w:afterLines="50" w:after="163" w:line="360" w:lineRule="auto"/>
        <w:ind w:firstLineChars="200" w:firstLine="480"/>
        <w:rPr>
          <w:rFonts w:cs="Times New Roman"/>
          <w:color w:val="000000" w:themeColor="text1"/>
        </w:rPr>
      </w:pPr>
      <w:bookmarkStart w:id="7" w:name="bookmark6"/>
      <w:r>
        <w:rPr>
          <w:rFonts w:cs="Times New Roman"/>
          <w:color w:val="000000" w:themeColor="text1"/>
        </w:rPr>
        <w:t>1</w:t>
      </w:r>
      <w:bookmarkEnd w:id="7"/>
      <w:r>
        <w:rPr>
          <w:rFonts w:cs="Times New Roman"/>
          <w:color w:val="000000" w:themeColor="text1"/>
        </w:rPr>
        <w:t>、国家政策大力支持供水行业的发展</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szCs w:val="24"/>
        </w:rPr>
        <w:t>本次</w:t>
      </w:r>
      <w:proofErr w:type="gramStart"/>
      <w:r>
        <w:rPr>
          <w:rFonts w:cs="Times New Roman"/>
          <w:color w:val="000000" w:themeColor="text1"/>
          <w:szCs w:val="24"/>
        </w:rPr>
        <w:t>募投项目</w:t>
      </w:r>
      <w:proofErr w:type="gramEnd"/>
      <w:r>
        <w:rPr>
          <w:rFonts w:cs="Times New Roman"/>
          <w:color w:val="000000" w:themeColor="text1"/>
          <w:szCs w:val="24"/>
        </w:rPr>
        <w:t>主要为</w:t>
      </w:r>
      <w:r>
        <w:rPr>
          <w:rFonts w:cs="Times New Roman"/>
          <w:snapToGrid w:val="0"/>
          <w:color w:val="000000" w:themeColor="text1"/>
          <w:kern w:val="0"/>
          <w:szCs w:val="24"/>
        </w:rPr>
        <w:t>宝坻新城第二水厂工程（一期）项目，属于</w:t>
      </w:r>
      <w:r w:rsidR="007D6237">
        <w:rPr>
          <w:rFonts w:cs="Times New Roman"/>
          <w:color w:val="000000" w:themeColor="text1"/>
          <w:szCs w:val="24"/>
        </w:rPr>
        <w:t>供水</w:t>
      </w:r>
      <w:r>
        <w:rPr>
          <w:rFonts w:cs="Times New Roman"/>
          <w:color w:val="000000" w:themeColor="text1"/>
          <w:szCs w:val="24"/>
        </w:rPr>
        <w:t>行业。</w:t>
      </w:r>
      <w:r>
        <w:rPr>
          <w:rFonts w:cs="Times New Roman"/>
          <w:color w:val="000000" w:themeColor="text1"/>
        </w:rPr>
        <w:lastRenderedPageBreak/>
        <w:t>随着中国经济社会的快速发展，供水的需求在未来一段时间仍不断加大。</w:t>
      </w:r>
      <w:r>
        <w:rPr>
          <w:rFonts w:cs="Times New Roman"/>
          <w:color w:val="000000" w:themeColor="text1"/>
          <w:szCs w:val="24"/>
        </w:rPr>
        <w:t>近年来国家</w:t>
      </w:r>
      <w:r>
        <w:rPr>
          <w:rFonts w:cs="Times New Roman"/>
          <w:color w:val="000000" w:themeColor="text1"/>
        </w:rPr>
        <w:t>先后颁布了多项法律、法规、政策及技术标准，为城镇给水工程建设、产品生产和日常管理活动提供了支撑和保障。</w:t>
      </w:r>
      <w:r>
        <w:rPr>
          <w:rFonts w:cs="Times New Roman"/>
          <w:color w:val="000000" w:themeColor="text1"/>
          <w:szCs w:val="24"/>
        </w:rPr>
        <w:t>本次</w:t>
      </w:r>
      <w:proofErr w:type="gramStart"/>
      <w:r>
        <w:rPr>
          <w:rFonts w:cs="Times New Roman"/>
          <w:color w:val="000000" w:themeColor="text1"/>
          <w:szCs w:val="24"/>
        </w:rPr>
        <w:t>募投项目</w:t>
      </w:r>
      <w:proofErr w:type="gramEnd"/>
      <w:r>
        <w:rPr>
          <w:rFonts w:cs="Times New Roman"/>
          <w:snapToGrid w:val="0"/>
          <w:color w:val="000000" w:themeColor="text1"/>
          <w:kern w:val="0"/>
          <w:szCs w:val="24"/>
        </w:rPr>
        <w:t>宝坻新城第二水厂工程（一期）项目，</w:t>
      </w:r>
      <w:r>
        <w:rPr>
          <w:rFonts w:cs="Times New Roman"/>
          <w:color w:val="000000" w:themeColor="text1"/>
        </w:rPr>
        <w:t>属于《产业结构调整指导目录（</w:t>
      </w:r>
      <w:r>
        <w:rPr>
          <w:rFonts w:cs="Times New Roman"/>
          <w:color w:val="000000" w:themeColor="text1"/>
        </w:rPr>
        <w:t>20</w:t>
      </w:r>
      <w:r>
        <w:rPr>
          <w:rFonts w:cs="Times New Roman" w:hint="eastAsia"/>
          <w:color w:val="000000" w:themeColor="text1"/>
        </w:rPr>
        <w:t>24</w:t>
      </w:r>
      <w:r>
        <w:rPr>
          <w:rFonts w:cs="Times New Roman"/>
          <w:color w:val="000000" w:themeColor="text1"/>
        </w:rPr>
        <w:t>年本）》鼓励类第二十二条</w:t>
      </w:r>
      <w:r>
        <w:rPr>
          <w:rFonts w:cs="Times New Roman" w:hint="eastAsia"/>
          <w:color w:val="000000" w:themeColor="text1"/>
        </w:rPr>
        <w:t>“</w:t>
      </w:r>
      <w:r>
        <w:rPr>
          <w:rFonts w:cs="Times New Roman"/>
          <w:color w:val="000000" w:themeColor="text1"/>
        </w:rPr>
        <w:t>城市基础设施</w:t>
      </w:r>
      <w:r>
        <w:rPr>
          <w:rFonts w:cs="Times New Roman" w:hint="eastAsia"/>
          <w:color w:val="000000" w:themeColor="text1"/>
        </w:rPr>
        <w:t>”第</w:t>
      </w:r>
      <w:r>
        <w:rPr>
          <w:rFonts w:cs="Times New Roman" w:hint="eastAsia"/>
          <w:color w:val="000000" w:themeColor="text1"/>
        </w:rPr>
        <w:t>2</w:t>
      </w:r>
      <w:r>
        <w:rPr>
          <w:rFonts w:cs="Times New Roman" w:hint="eastAsia"/>
          <w:color w:val="000000" w:themeColor="text1"/>
        </w:rPr>
        <w:t>款“市政基础设施”之“</w:t>
      </w:r>
      <w:r>
        <w:rPr>
          <w:rFonts w:cs="Times New Roman"/>
          <w:color w:val="000000" w:themeColor="text1"/>
        </w:rPr>
        <w:t>城镇供排水</w:t>
      </w:r>
      <w:r>
        <w:rPr>
          <w:rFonts w:cs="Times New Roman" w:hint="eastAsia"/>
          <w:color w:val="000000" w:themeColor="text1"/>
        </w:rPr>
        <w:t>工程及相关设备生产”</w:t>
      </w:r>
      <w:r>
        <w:rPr>
          <w:rFonts w:cs="Times New Roman"/>
          <w:color w:val="000000" w:themeColor="text1"/>
        </w:rPr>
        <w:t>的范畴，是国家鼓励发展的项目。</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2</w:t>
      </w:r>
      <w:r>
        <w:rPr>
          <w:rFonts w:cs="Times New Roman"/>
          <w:color w:val="000000" w:themeColor="text1"/>
        </w:rPr>
        <w:t>、增加</w:t>
      </w:r>
      <w:r>
        <w:rPr>
          <w:rFonts w:cs="Times New Roman"/>
          <w:color w:val="000000" w:themeColor="text1"/>
          <w:szCs w:val="24"/>
        </w:rPr>
        <w:t>供水量，满足城市发展需求</w:t>
      </w:r>
    </w:p>
    <w:p w:rsidR="003C3FCD" w:rsidRDefault="00343C0E">
      <w:pPr>
        <w:snapToGrid w:val="0"/>
        <w:spacing w:beforeLines="50" w:before="163" w:afterLines="50" w:after="163" w:line="360" w:lineRule="auto"/>
        <w:ind w:firstLineChars="200" w:firstLine="480"/>
        <w:rPr>
          <w:rFonts w:cs="Times New Roman"/>
          <w:color w:val="000000" w:themeColor="text1"/>
        </w:rPr>
      </w:pPr>
      <w:r>
        <w:rPr>
          <w:rFonts w:cs="Times New Roman"/>
          <w:color w:val="000000" w:themeColor="text1"/>
          <w:szCs w:val="24"/>
        </w:rPr>
        <w:t>现代化城市需要配套的供水设施，随着国民经济的发展和人民生活水平的不断提高，城市供水安全问题已成为社会经济发展和人民生活稳定的重要制约因素。随着国家</w:t>
      </w:r>
      <w:r>
        <w:rPr>
          <w:rFonts w:cs="Times New Roman" w:hint="eastAsia"/>
          <w:color w:val="000000" w:themeColor="text1"/>
          <w:szCs w:val="24"/>
        </w:rPr>
        <w:t>“</w:t>
      </w:r>
      <w:r>
        <w:rPr>
          <w:rFonts w:cs="Times New Roman"/>
          <w:color w:val="000000" w:themeColor="text1"/>
          <w:szCs w:val="24"/>
        </w:rPr>
        <w:t>十三五</w:t>
      </w:r>
      <w:r>
        <w:rPr>
          <w:rFonts w:cs="Times New Roman" w:hint="eastAsia"/>
          <w:color w:val="000000" w:themeColor="text1"/>
          <w:szCs w:val="24"/>
        </w:rPr>
        <w:t>”</w:t>
      </w:r>
      <w:r>
        <w:rPr>
          <w:rFonts w:cs="Times New Roman"/>
          <w:color w:val="000000" w:themeColor="text1"/>
          <w:szCs w:val="24"/>
        </w:rPr>
        <w:t>规划的实施，天津市宝坻区宝坻新城得到了快速发展的机会。区域内引进了中关村科技城、环保工业园和物流产业园，同时</w:t>
      </w:r>
      <w:r>
        <w:rPr>
          <w:rFonts w:cs="Times New Roman"/>
          <w:color w:val="000000" w:themeColor="text1"/>
        </w:rPr>
        <w:t>又规划了</w:t>
      </w:r>
      <w:r>
        <w:rPr>
          <w:rFonts w:cs="Times New Roman"/>
          <w:color w:val="000000" w:themeColor="text1"/>
        </w:rPr>
        <w:t>30km</w:t>
      </w:r>
      <w:r>
        <w:rPr>
          <w:rFonts w:cs="Times New Roman"/>
          <w:color w:val="000000" w:themeColor="text1"/>
          <w:vertAlign w:val="superscript"/>
        </w:rPr>
        <w:t>2</w:t>
      </w:r>
      <w:r>
        <w:rPr>
          <w:rFonts w:cs="Times New Roman"/>
          <w:color w:val="000000" w:themeColor="text1"/>
        </w:rPr>
        <w:t>作为配合高铁建设的新区，</w:t>
      </w:r>
      <w:r>
        <w:rPr>
          <w:rFonts w:cs="Times New Roman"/>
          <w:color w:val="000000" w:themeColor="text1"/>
          <w:szCs w:val="24"/>
        </w:rPr>
        <w:t>用水需求扩大。因此，需增加区域供水量，以满足城市发展的需要。</w:t>
      </w:r>
    </w:p>
    <w:p w:rsidR="003C3FCD" w:rsidRDefault="00343C0E">
      <w:pPr>
        <w:pStyle w:val="3"/>
        <w:spacing w:before="120" w:after="120" w:line="360" w:lineRule="auto"/>
        <w:ind w:firstLineChars="200" w:firstLine="482"/>
        <w:rPr>
          <w:rFonts w:cs="Times New Roman"/>
          <w:color w:val="000000" w:themeColor="text1"/>
          <w:sz w:val="24"/>
        </w:rPr>
      </w:pPr>
      <w:r>
        <w:rPr>
          <w:rFonts w:cs="Times New Roman"/>
          <w:color w:val="000000" w:themeColor="text1"/>
          <w:sz w:val="24"/>
        </w:rPr>
        <w:t>（二）本次发行的目的</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1</w:t>
      </w:r>
      <w:r>
        <w:rPr>
          <w:rFonts w:cs="Times New Roman"/>
          <w:color w:val="000000" w:themeColor="text1"/>
        </w:rPr>
        <w:t>、抓住市场发展机遇，扩大产能规模，增强公司盈利能力</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本次向特定对象发行股票募集资金拟用于天津市宝坻区宝坻新城第二水厂工程（一期）项目，为公司主业投资，系公司为进一步</w:t>
      </w:r>
      <w:proofErr w:type="gramStart"/>
      <w:r>
        <w:rPr>
          <w:rFonts w:cs="Times New Roman"/>
          <w:color w:val="000000" w:themeColor="text1"/>
        </w:rPr>
        <w:t>做优做强做</w:t>
      </w:r>
      <w:proofErr w:type="gramEnd"/>
      <w:r>
        <w:rPr>
          <w:rFonts w:cs="Times New Roman"/>
          <w:color w:val="000000" w:themeColor="text1"/>
        </w:rPr>
        <w:t>大主营业务，符合公司</w:t>
      </w:r>
      <w:r>
        <w:rPr>
          <w:rFonts w:cs="Times New Roman" w:hint="eastAsia"/>
          <w:color w:val="000000" w:themeColor="text1"/>
        </w:rPr>
        <w:t>“</w:t>
      </w:r>
      <w:r>
        <w:rPr>
          <w:rFonts w:cs="Times New Roman"/>
          <w:color w:val="000000" w:themeColor="text1"/>
        </w:rPr>
        <w:t>十四五</w:t>
      </w:r>
      <w:r>
        <w:rPr>
          <w:rFonts w:cs="Times New Roman" w:hint="eastAsia"/>
          <w:color w:val="000000" w:themeColor="text1"/>
        </w:rPr>
        <w:t>”</w:t>
      </w:r>
      <w:r>
        <w:rPr>
          <w:rFonts w:cs="Times New Roman"/>
          <w:color w:val="000000" w:themeColor="text1"/>
        </w:rPr>
        <w:t>战略发展规划，有利于进一步深化公司深耕京津</w:t>
      </w:r>
      <w:proofErr w:type="gramStart"/>
      <w:r>
        <w:rPr>
          <w:rFonts w:cs="Times New Roman"/>
          <w:color w:val="000000" w:themeColor="text1"/>
        </w:rPr>
        <w:t>冀市场</w:t>
      </w:r>
      <w:proofErr w:type="gramEnd"/>
      <w:r>
        <w:rPr>
          <w:rFonts w:cs="Times New Roman"/>
          <w:color w:val="000000" w:themeColor="text1"/>
        </w:rPr>
        <w:t>布局，稳步扩大规模产能和收入、利润渠道，提升公司的社会、行业影响力和品牌价值。</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2</w:t>
      </w:r>
      <w:r>
        <w:rPr>
          <w:rFonts w:cs="Times New Roman"/>
          <w:color w:val="000000" w:themeColor="text1"/>
        </w:rPr>
        <w:t>、优化资产负债结构，增强公司资本实力</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凭借多年的经营积累，公司已实现持续稳定发展，但现有资本规模和结构难以满足公司长远发展需求。本次募集资金到位后，公司资产总额与净资产将增加，资产负债率有所降低，从而有利于优化公司的资产负债结构，增强公司综合竞争力，增强持续盈利能力和抗风险能力，为公司长期可持续发展奠定坚实基础。</w:t>
      </w:r>
    </w:p>
    <w:p w:rsidR="003C3FCD" w:rsidRDefault="00343C0E">
      <w:pPr>
        <w:pStyle w:val="2"/>
        <w:spacing w:before="120" w:after="120" w:line="360" w:lineRule="auto"/>
        <w:rPr>
          <w:rFonts w:ascii="Times New Roman" w:eastAsia="黑体" w:hAnsi="Times New Roman" w:cs="Times New Roman"/>
          <w:color w:val="000000" w:themeColor="text1"/>
          <w:sz w:val="28"/>
        </w:rPr>
      </w:pPr>
      <w:bookmarkStart w:id="8" w:name="_Toc146198210"/>
      <w:r>
        <w:rPr>
          <w:rFonts w:ascii="Times New Roman" w:eastAsia="黑体" w:hAnsi="Times New Roman" w:cs="Times New Roman"/>
          <w:color w:val="000000" w:themeColor="text1"/>
          <w:sz w:val="28"/>
        </w:rPr>
        <w:lastRenderedPageBreak/>
        <w:t>三、发行对象及其与公司的关系</w:t>
      </w:r>
      <w:bookmarkEnd w:id="8"/>
      <w:r>
        <w:rPr>
          <w:rFonts w:ascii="Times New Roman" w:eastAsia="黑体" w:hAnsi="Times New Roman" w:cs="Times New Roman"/>
          <w:color w:val="000000" w:themeColor="text1"/>
          <w:sz w:val="28"/>
        </w:rPr>
        <w:tab/>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本次发行股票的发行对象为不超过</w:t>
      </w:r>
      <w:r>
        <w:rPr>
          <w:rFonts w:cs="Times New Roman"/>
          <w:color w:val="000000" w:themeColor="text1"/>
        </w:rPr>
        <w:t>35</w:t>
      </w:r>
      <w:r>
        <w:rPr>
          <w:rFonts w:cs="Times New Roman"/>
          <w:color w:val="000000" w:themeColor="text1"/>
        </w:rPr>
        <w:t>名（含</w:t>
      </w:r>
      <w:r>
        <w:rPr>
          <w:rFonts w:cs="Times New Roman"/>
          <w:color w:val="000000" w:themeColor="text1"/>
        </w:rPr>
        <w:t>35</w:t>
      </w:r>
      <w:r>
        <w:rPr>
          <w:rFonts w:cs="Times New Roman"/>
          <w:color w:val="000000" w:themeColor="text1"/>
        </w:rPr>
        <w:t>名）特定投资者，包括符合中国证监会规定的证券投资基金管理公司、证券公司、信托公司、财务公司、保险机构投资者、合格境外机构投资者、以及符合中国证监会规定的其他法人、自然人或其他合格的投资者。证券投资基金管理公司、证券公司、合格境外机构投资者、人民币合格境外机构投资者以其管理的</w:t>
      </w:r>
      <w:r>
        <w:rPr>
          <w:rFonts w:cs="Times New Roman"/>
          <w:color w:val="000000" w:themeColor="text1"/>
        </w:rPr>
        <w:t>2</w:t>
      </w:r>
      <w:r>
        <w:rPr>
          <w:rFonts w:cs="Times New Roman"/>
          <w:color w:val="000000" w:themeColor="text1"/>
        </w:rPr>
        <w:t>只以上产品认购的，视为一个发行对象；信托公司作为发行对象的，只能以自有资金认购。</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最终发行对象由公司董事会根据</w:t>
      </w:r>
      <w:r>
        <w:rPr>
          <w:rFonts w:cs="Times New Roman"/>
          <w:color w:val="000000" w:themeColor="text1"/>
        </w:rPr>
        <w:t>2022</w:t>
      </w:r>
      <w:r>
        <w:rPr>
          <w:rFonts w:cs="Times New Roman"/>
          <w:color w:val="000000" w:themeColor="text1"/>
        </w:rPr>
        <w:t>年年度股东大会的授权，与保荐机构（主承销商）按照相关法律、法规和规范性文件的规定及发行竞价情况，遵照价格优先等原则协商确定。截至本预案披露日，本次发行尚未确定具体的发行对象，因而无法确定发行对象与公司的关系。公司将在发行结束后相关公告中披露发行对象与公司之间的关系。</w:t>
      </w:r>
    </w:p>
    <w:p w:rsidR="003C3FCD" w:rsidRDefault="00343C0E">
      <w:pPr>
        <w:pStyle w:val="2"/>
        <w:spacing w:before="120" w:after="120" w:line="360" w:lineRule="auto"/>
        <w:rPr>
          <w:rFonts w:ascii="Times New Roman" w:eastAsia="黑体" w:hAnsi="Times New Roman" w:cs="Times New Roman"/>
          <w:color w:val="000000" w:themeColor="text1"/>
          <w:sz w:val="28"/>
        </w:rPr>
      </w:pPr>
      <w:bookmarkStart w:id="9" w:name="_Toc146198211"/>
      <w:r>
        <w:rPr>
          <w:rFonts w:ascii="Times New Roman" w:eastAsia="黑体" w:hAnsi="Times New Roman" w:cs="Times New Roman"/>
          <w:color w:val="000000" w:themeColor="text1"/>
          <w:sz w:val="28"/>
        </w:rPr>
        <w:t>四、本次发行股票的方案概要</w:t>
      </w:r>
      <w:bookmarkEnd w:id="9"/>
      <w:r>
        <w:rPr>
          <w:rFonts w:ascii="Times New Roman" w:eastAsia="黑体" w:hAnsi="Times New Roman" w:cs="Times New Roman"/>
          <w:color w:val="000000" w:themeColor="text1"/>
          <w:sz w:val="28"/>
        </w:rPr>
        <w:tab/>
      </w:r>
    </w:p>
    <w:p w:rsidR="003C3FCD" w:rsidRDefault="00343C0E">
      <w:pPr>
        <w:pStyle w:val="3"/>
        <w:spacing w:beforeLines="50" w:before="163" w:afterLines="50" w:after="163" w:line="360" w:lineRule="auto"/>
        <w:ind w:firstLineChars="200" w:firstLine="482"/>
        <w:rPr>
          <w:rFonts w:cs="Times New Roman"/>
          <w:color w:val="000000" w:themeColor="text1"/>
          <w:sz w:val="24"/>
        </w:rPr>
      </w:pPr>
      <w:r>
        <w:rPr>
          <w:rFonts w:cs="Times New Roman"/>
          <w:color w:val="000000" w:themeColor="text1"/>
          <w:sz w:val="24"/>
        </w:rPr>
        <w:t>（一）发行股票的种类及面值</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发行股票的种类为中国境内上市的人民币普通股（</w:t>
      </w:r>
      <w:r>
        <w:rPr>
          <w:rFonts w:cs="Times New Roman"/>
          <w:color w:val="000000" w:themeColor="text1"/>
        </w:rPr>
        <w:t>A</w:t>
      </w:r>
      <w:r>
        <w:rPr>
          <w:rFonts w:cs="Times New Roman"/>
          <w:color w:val="000000" w:themeColor="text1"/>
        </w:rPr>
        <w:t>股），每股面值人民币</w:t>
      </w:r>
      <w:r>
        <w:rPr>
          <w:rFonts w:cs="Times New Roman"/>
          <w:color w:val="000000" w:themeColor="text1"/>
        </w:rPr>
        <w:t>1.00</w:t>
      </w:r>
      <w:r>
        <w:rPr>
          <w:rFonts w:cs="Times New Roman"/>
          <w:color w:val="000000" w:themeColor="text1"/>
        </w:rPr>
        <w:t>元。</w:t>
      </w:r>
    </w:p>
    <w:p w:rsidR="003C3FCD" w:rsidRDefault="00343C0E">
      <w:pPr>
        <w:pStyle w:val="3"/>
        <w:spacing w:beforeLines="50" w:before="163" w:afterLines="50" w:after="163" w:line="360" w:lineRule="auto"/>
        <w:ind w:firstLineChars="200" w:firstLine="482"/>
        <w:rPr>
          <w:rFonts w:cs="Times New Roman"/>
          <w:color w:val="000000" w:themeColor="text1"/>
          <w:sz w:val="24"/>
        </w:rPr>
      </w:pPr>
      <w:r>
        <w:rPr>
          <w:rFonts w:cs="Times New Roman"/>
          <w:color w:val="000000" w:themeColor="text1"/>
          <w:sz w:val="24"/>
        </w:rPr>
        <w:t>（二）发行方式和发行时间</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本次发行股票采用以简易程序向特定对象发行股票的方式，公司将在中国证监会</w:t>
      </w:r>
      <w:proofErr w:type="gramStart"/>
      <w:r>
        <w:rPr>
          <w:rFonts w:cs="Times New Roman"/>
          <w:color w:val="000000" w:themeColor="text1"/>
        </w:rPr>
        <w:t>作出</w:t>
      </w:r>
      <w:proofErr w:type="gramEnd"/>
      <w:r>
        <w:rPr>
          <w:rFonts w:cs="Times New Roman"/>
          <w:color w:val="000000" w:themeColor="text1"/>
        </w:rPr>
        <w:t>予以注册决定后十个工作日内完成发行缴款。</w:t>
      </w:r>
    </w:p>
    <w:p w:rsidR="003C3FCD" w:rsidRDefault="00343C0E">
      <w:pPr>
        <w:pStyle w:val="3"/>
        <w:spacing w:beforeLines="50" w:before="163" w:afterLines="50" w:after="163" w:line="360" w:lineRule="auto"/>
        <w:ind w:firstLineChars="200" w:firstLine="482"/>
        <w:rPr>
          <w:rFonts w:cs="Times New Roman"/>
          <w:color w:val="000000" w:themeColor="text1"/>
          <w:sz w:val="24"/>
        </w:rPr>
      </w:pPr>
      <w:r>
        <w:rPr>
          <w:rFonts w:cs="Times New Roman"/>
          <w:color w:val="000000" w:themeColor="text1"/>
          <w:sz w:val="24"/>
        </w:rPr>
        <w:t>（三）发行对象及认购方式</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本次发行对象为不超过</w:t>
      </w:r>
      <w:r>
        <w:rPr>
          <w:rFonts w:cs="Times New Roman"/>
          <w:color w:val="000000" w:themeColor="text1"/>
        </w:rPr>
        <w:t>35</w:t>
      </w:r>
      <w:r>
        <w:rPr>
          <w:rFonts w:cs="Times New Roman"/>
          <w:color w:val="000000" w:themeColor="text1"/>
        </w:rPr>
        <w:t>名（含</w:t>
      </w:r>
      <w:r>
        <w:rPr>
          <w:rFonts w:cs="Times New Roman"/>
          <w:color w:val="000000" w:themeColor="text1"/>
        </w:rPr>
        <w:t>35</w:t>
      </w:r>
      <w:r>
        <w:rPr>
          <w:rFonts w:cs="Times New Roman"/>
          <w:color w:val="000000" w:themeColor="text1"/>
        </w:rPr>
        <w:t>名）特定投资者，包括符合中国证监会规定的证券投资基金管理公司、证券公司、信托公司、财务公司、保险机构投资者、合格境外机构投资者，以及符合中国证监会规定的其他法人、自然人或其他合格的投资者。其中，证券投资基金管理公司、证券公司、合格境外机构投资者、</w:t>
      </w:r>
      <w:r>
        <w:rPr>
          <w:rFonts w:cs="Times New Roman"/>
          <w:color w:val="000000" w:themeColor="text1"/>
        </w:rPr>
        <w:lastRenderedPageBreak/>
        <w:t>人民币合格境外机构投资者以其管理的二只以上产品认购的，视为一个发行对象。信托公司作为发行对象的，只能以自有资金认购。</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最终发行对象由公司董事会根据</w:t>
      </w:r>
      <w:r>
        <w:rPr>
          <w:rFonts w:cs="Times New Roman"/>
          <w:color w:val="000000" w:themeColor="text1"/>
        </w:rPr>
        <w:t>2022</w:t>
      </w:r>
      <w:r>
        <w:rPr>
          <w:rFonts w:cs="Times New Roman"/>
          <w:color w:val="000000" w:themeColor="text1"/>
        </w:rPr>
        <w:t>年年度股东大会的授权，与保荐机构（主承销商）按照相关法律、法规和规范性文件的规定及发行竞价情况，遵照价格优先等原则协商确定。若国家法律、法规对本次发行的特定对象有新的规定，公司将按新的规定进行调整。</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本次发行的发行对象均以人民币现金方式并以同一价格认购公司本次发行的股票。</w:t>
      </w:r>
    </w:p>
    <w:p w:rsidR="003C3FCD" w:rsidRDefault="00343C0E">
      <w:pPr>
        <w:pStyle w:val="3"/>
        <w:spacing w:beforeLines="50" w:before="163" w:afterLines="50" w:after="163" w:line="360" w:lineRule="auto"/>
        <w:ind w:firstLineChars="200" w:firstLine="482"/>
        <w:rPr>
          <w:rFonts w:cs="Times New Roman"/>
          <w:color w:val="000000" w:themeColor="text1"/>
          <w:sz w:val="24"/>
        </w:rPr>
      </w:pPr>
      <w:r>
        <w:rPr>
          <w:rFonts w:cs="Times New Roman"/>
          <w:color w:val="000000" w:themeColor="text1"/>
          <w:sz w:val="24"/>
        </w:rPr>
        <w:t>（四）定价基准日、定价方式和发行价格</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本次发行股票的定价基准日为发行期首日，发行价格不低于定价基准日前</w:t>
      </w:r>
      <w:r>
        <w:rPr>
          <w:rFonts w:cs="Times New Roman"/>
          <w:color w:val="000000" w:themeColor="text1"/>
        </w:rPr>
        <w:t>20</w:t>
      </w:r>
      <w:r>
        <w:rPr>
          <w:rFonts w:cs="Times New Roman"/>
          <w:color w:val="000000" w:themeColor="text1"/>
        </w:rPr>
        <w:t>个交易日公司股票均价的</w:t>
      </w:r>
      <w:r>
        <w:rPr>
          <w:rFonts w:cs="Times New Roman"/>
          <w:color w:val="000000" w:themeColor="text1"/>
        </w:rPr>
        <w:t>80%</w:t>
      </w:r>
      <w:r>
        <w:rPr>
          <w:rFonts w:cs="Times New Roman"/>
          <w:color w:val="000000" w:themeColor="text1"/>
        </w:rPr>
        <w:t>与发行前公司最近</w:t>
      </w:r>
      <w:proofErr w:type="gramStart"/>
      <w:r>
        <w:rPr>
          <w:rFonts w:cs="Times New Roman"/>
          <w:color w:val="000000" w:themeColor="text1"/>
        </w:rPr>
        <w:t>一</w:t>
      </w:r>
      <w:proofErr w:type="gramEnd"/>
      <w:r>
        <w:rPr>
          <w:rFonts w:cs="Times New Roman"/>
          <w:color w:val="000000" w:themeColor="text1"/>
        </w:rPr>
        <w:t>期末经审计的归属于母公司普通股股东的每股净资产值的较高者，其中，定价基准日前</w:t>
      </w:r>
      <w:r>
        <w:rPr>
          <w:rFonts w:cs="Times New Roman"/>
          <w:color w:val="000000" w:themeColor="text1"/>
        </w:rPr>
        <w:t>20</w:t>
      </w:r>
      <w:r>
        <w:rPr>
          <w:rFonts w:cs="Times New Roman"/>
          <w:color w:val="000000" w:themeColor="text1"/>
        </w:rPr>
        <w:t>个交易日股票交易均价</w:t>
      </w:r>
      <w:r>
        <w:rPr>
          <w:rFonts w:cs="Times New Roman"/>
          <w:color w:val="000000" w:themeColor="text1"/>
        </w:rPr>
        <w:t>=</w:t>
      </w:r>
      <w:r>
        <w:rPr>
          <w:rFonts w:cs="Times New Roman"/>
          <w:color w:val="000000" w:themeColor="text1"/>
        </w:rPr>
        <w:t>定价基准日前</w:t>
      </w:r>
      <w:r>
        <w:rPr>
          <w:rFonts w:cs="Times New Roman"/>
          <w:color w:val="000000" w:themeColor="text1"/>
        </w:rPr>
        <w:t>20</w:t>
      </w:r>
      <w:r>
        <w:rPr>
          <w:rFonts w:cs="Times New Roman"/>
          <w:color w:val="000000" w:themeColor="text1"/>
        </w:rPr>
        <w:t>个交易日股票交易总额</w:t>
      </w:r>
      <w:r>
        <w:rPr>
          <w:rFonts w:cs="Times New Roman"/>
          <w:color w:val="000000" w:themeColor="text1"/>
        </w:rPr>
        <w:t>/</w:t>
      </w:r>
      <w:r>
        <w:rPr>
          <w:rFonts w:cs="Times New Roman"/>
          <w:color w:val="000000" w:themeColor="text1"/>
        </w:rPr>
        <w:t>定价基准日前</w:t>
      </w:r>
      <w:r>
        <w:rPr>
          <w:rFonts w:cs="Times New Roman"/>
          <w:color w:val="000000" w:themeColor="text1"/>
        </w:rPr>
        <w:t>20</w:t>
      </w:r>
      <w:r>
        <w:rPr>
          <w:rFonts w:cs="Times New Roman"/>
          <w:color w:val="000000" w:themeColor="text1"/>
        </w:rPr>
        <w:t>个交易日股票交易总量。若国家法律、法规或其他规范性文件对以简易程序向特定对象发行股票的定价原则等有最新规定或监管意见，公司将按最新规定或监管意见进行相应调整。</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若公司股票在定价基准日至发行日期间发生派息、送红股、资本公积金转增股本等除权、除息事宜的，本次发行价格将进行相应调整。调整公式如下：</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派发现金股利：</w:t>
      </w:r>
      <w:r>
        <w:rPr>
          <w:rFonts w:cs="Times New Roman"/>
          <w:color w:val="000000" w:themeColor="text1"/>
        </w:rPr>
        <w:t>P1=P0-D</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资本公积送股或转增股本：</w:t>
      </w:r>
      <w:r>
        <w:rPr>
          <w:rFonts w:cs="Times New Roman"/>
          <w:color w:val="000000" w:themeColor="text1"/>
        </w:rPr>
        <w:t>P1=P0</w:t>
      </w:r>
      <w:proofErr w:type="gramStart"/>
      <w:r>
        <w:rPr>
          <w:rFonts w:cs="Times New Roman"/>
          <w:color w:val="000000" w:themeColor="text1"/>
        </w:rPr>
        <w:t>/(</w:t>
      </w:r>
      <w:proofErr w:type="gramEnd"/>
      <w:r>
        <w:rPr>
          <w:rFonts w:cs="Times New Roman"/>
          <w:color w:val="000000" w:themeColor="text1"/>
        </w:rPr>
        <w:t xml:space="preserve">1+N) </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上述两项同时进行：</w:t>
      </w:r>
      <w:r>
        <w:rPr>
          <w:rFonts w:cs="Times New Roman"/>
          <w:color w:val="000000" w:themeColor="text1"/>
        </w:rPr>
        <w:t>P1</w:t>
      </w:r>
      <w:proofErr w:type="gramStart"/>
      <w:r>
        <w:rPr>
          <w:rFonts w:cs="Times New Roman"/>
          <w:color w:val="000000" w:themeColor="text1"/>
        </w:rPr>
        <w:t>=(</w:t>
      </w:r>
      <w:proofErr w:type="gramEnd"/>
      <w:r>
        <w:rPr>
          <w:rFonts w:cs="Times New Roman"/>
          <w:color w:val="000000" w:themeColor="text1"/>
        </w:rPr>
        <w:t>P0-D)/(1+N)</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其中，</w:t>
      </w:r>
      <w:r>
        <w:rPr>
          <w:rFonts w:cs="Times New Roman"/>
          <w:color w:val="000000" w:themeColor="text1"/>
        </w:rPr>
        <w:t>P0</w:t>
      </w:r>
      <w:r>
        <w:rPr>
          <w:rFonts w:cs="Times New Roman"/>
          <w:color w:val="000000" w:themeColor="text1"/>
        </w:rPr>
        <w:t>为调整前发行价格，</w:t>
      </w:r>
      <w:r>
        <w:rPr>
          <w:rFonts w:cs="Times New Roman"/>
          <w:color w:val="000000" w:themeColor="text1"/>
        </w:rPr>
        <w:t>D</w:t>
      </w:r>
      <w:r>
        <w:rPr>
          <w:rFonts w:cs="Times New Roman"/>
          <w:color w:val="000000" w:themeColor="text1"/>
        </w:rPr>
        <w:t>为每股派发现金股利金额，</w:t>
      </w:r>
      <w:r>
        <w:rPr>
          <w:rFonts w:cs="Times New Roman"/>
          <w:color w:val="000000" w:themeColor="text1"/>
        </w:rPr>
        <w:t>N</w:t>
      </w:r>
      <w:r>
        <w:rPr>
          <w:rFonts w:cs="Times New Roman"/>
          <w:color w:val="000000" w:themeColor="text1"/>
        </w:rPr>
        <w:t>为每股送股或转增股本的数量，</w:t>
      </w:r>
      <w:r>
        <w:rPr>
          <w:rFonts w:cs="Times New Roman"/>
          <w:color w:val="000000" w:themeColor="text1"/>
        </w:rPr>
        <w:t>P1</w:t>
      </w:r>
      <w:r>
        <w:rPr>
          <w:rFonts w:cs="Times New Roman"/>
          <w:color w:val="000000" w:themeColor="text1"/>
        </w:rPr>
        <w:t>为调整后发行价格。</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本次以简易程序向特定对象发行股票的最终发行价格由董事会根据</w:t>
      </w:r>
      <w:r>
        <w:rPr>
          <w:rFonts w:cs="Times New Roman"/>
          <w:color w:val="000000" w:themeColor="text1"/>
        </w:rPr>
        <w:t>2022</w:t>
      </w:r>
      <w:r>
        <w:rPr>
          <w:rFonts w:cs="Times New Roman"/>
          <w:color w:val="000000" w:themeColor="text1"/>
        </w:rPr>
        <w:t>年年度股东大会授权和相关规定，根据竞价结果与保荐机构（主承销商）协商确定。</w:t>
      </w:r>
    </w:p>
    <w:p w:rsidR="003C3FCD" w:rsidRDefault="00343C0E">
      <w:pPr>
        <w:pStyle w:val="3"/>
        <w:spacing w:beforeLines="50" w:before="163" w:afterLines="50" w:after="163" w:line="360" w:lineRule="auto"/>
        <w:ind w:firstLineChars="200" w:firstLine="482"/>
        <w:rPr>
          <w:rFonts w:cs="Times New Roman"/>
          <w:color w:val="000000" w:themeColor="text1"/>
          <w:sz w:val="24"/>
        </w:rPr>
      </w:pPr>
      <w:r>
        <w:rPr>
          <w:rFonts w:cs="Times New Roman"/>
          <w:color w:val="000000" w:themeColor="text1"/>
          <w:sz w:val="24"/>
        </w:rPr>
        <w:lastRenderedPageBreak/>
        <w:t>（五）发行数量</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本次发行的股票数量不超过</w:t>
      </w:r>
      <w:r>
        <w:rPr>
          <w:rFonts w:cs="Times New Roman"/>
          <w:color w:val="000000" w:themeColor="text1"/>
        </w:rPr>
        <w:t>50,505,050</w:t>
      </w:r>
      <w:r>
        <w:rPr>
          <w:rFonts w:cs="Times New Roman"/>
          <w:color w:val="000000" w:themeColor="text1"/>
        </w:rPr>
        <w:t>股（含本数），不超过本次发行前公司总股本的</w:t>
      </w:r>
      <w:r>
        <w:rPr>
          <w:rFonts w:cs="Times New Roman"/>
          <w:color w:val="000000" w:themeColor="text1"/>
        </w:rPr>
        <w:t>30%</w:t>
      </w:r>
      <w:r>
        <w:rPr>
          <w:rFonts w:cs="Times New Roman"/>
          <w:color w:val="000000" w:themeColor="text1"/>
        </w:rPr>
        <w:t>，最终发行股票数量由董事会根据</w:t>
      </w:r>
      <w:r>
        <w:rPr>
          <w:rFonts w:cs="Times New Roman"/>
          <w:color w:val="000000" w:themeColor="text1"/>
        </w:rPr>
        <w:t>2022</w:t>
      </w:r>
      <w:r>
        <w:rPr>
          <w:rFonts w:cs="Times New Roman"/>
          <w:color w:val="000000" w:themeColor="text1"/>
        </w:rPr>
        <w:t>年年度股东大会授权，与本次发行的保荐机构（主承销商）按照具体情况协商确定，对应募集资金金额不超过三亿元且不超过最近一年末净资产的百分之二十。</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若公司股票在定价基准日至发行日期间发生送红股、资本公积金转增股本等除权、除息事项和因其他原因导致公司股本总额发生变动，或者因本次发行价格发生调整的，则本次发行股票数量上限将进行相应调整。最终发行股票数量以中国证监会同意注册的数量为准。</w:t>
      </w:r>
    </w:p>
    <w:p w:rsidR="003C3FCD" w:rsidRDefault="00343C0E">
      <w:pPr>
        <w:pStyle w:val="3"/>
        <w:spacing w:beforeLines="50" w:before="163" w:afterLines="50" w:after="163" w:line="360" w:lineRule="auto"/>
        <w:ind w:firstLineChars="200" w:firstLine="482"/>
        <w:rPr>
          <w:rFonts w:cs="Times New Roman"/>
          <w:color w:val="000000" w:themeColor="text1"/>
          <w:sz w:val="24"/>
        </w:rPr>
      </w:pPr>
      <w:r>
        <w:rPr>
          <w:rFonts w:cs="Times New Roman"/>
          <w:color w:val="000000" w:themeColor="text1"/>
          <w:sz w:val="24"/>
        </w:rPr>
        <w:t>（六）限售期</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本次以简易程序向特定对象发行的股票，自本次发行结束之日起</w:t>
      </w:r>
      <w:r>
        <w:rPr>
          <w:rFonts w:cs="Times New Roman"/>
          <w:color w:val="000000" w:themeColor="text1"/>
        </w:rPr>
        <w:t>6</w:t>
      </w:r>
      <w:r>
        <w:rPr>
          <w:rFonts w:cs="Times New Roman"/>
          <w:color w:val="000000" w:themeColor="text1"/>
        </w:rPr>
        <w:t>个月内不得转让，法律法规另有规定的从其规定。</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本次发行对象所取得公司本次发行的股票因公司分配股票股利、资本公积转增股本等情形所衍生取得的股份亦应遵守上述股份锁定安排。限售期届满后发行对象减持认购的本次发行的股票须遵守中国证监会、深圳证券交易所等监管部门的相关规定。</w:t>
      </w:r>
    </w:p>
    <w:p w:rsidR="003C3FCD" w:rsidRDefault="00343C0E">
      <w:pPr>
        <w:pStyle w:val="3"/>
        <w:spacing w:beforeLines="50" w:before="163" w:afterLines="50" w:after="163" w:line="360" w:lineRule="auto"/>
        <w:ind w:firstLineChars="200" w:firstLine="482"/>
        <w:rPr>
          <w:rFonts w:cs="Times New Roman"/>
          <w:color w:val="000000" w:themeColor="text1"/>
          <w:sz w:val="24"/>
        </w:rPr>
      </w:pPr>
      <w:r>
        <w:rPr>
          <w:rFonts w:cs="Times New Roman"/>
          <w:color w:val="000000" w:themeColor="text1"/>
          <w:sz w:val="24"/>
        </w:rPr>
        <w:t>（七）募集资金金额和用途</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本次以简易程序向特定对象发行股票的募集资金总额不超过</w:t>
      </w:r>
      <w:r>
        <w:rPr>
          <w:rFonts w:cs="Times New Roman"/>
          <w:color w:val="000000" w:themeColor="text1"/>
        </w:rPr>
        <w:t>30,000.00</w:t>
      </w:r>
      <w:r>
        <w:rPr>
          <w:rFonts w:cs="Times New Roman"/>
          <w:color w:val="000000" w:themeColor="text1"/>
        </w:rPr>
        <w:t>万元（含本数），扣除发行费用后拟将募集资金全部用于以下项目：</w:t>
      </w:r>
    </w:p>
    <w:tbl>
      <w:tblPr>
        <w:tblStyle w:val="TableNormal"/>
        <w:tblW w:w="4965" w:type="pct"/>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647"/>
        <w:gridCol w:w="3745"/>
        <w:gridCol w:w="1821"/>
        <w:gridCol w:w="2005"/>
      </w:tblGrid>
      <w:tr w:rsidR="003C3FCD" w:rsidTr="00EA669B">
        <w:trPr>
          <w:trHeight w:val="413"/>
        </w:trPr>
        <w:tc>
          <w:tcPr>
            <w:tcW w:w="393" w:type="pct"/>
            <w:tcBorders>
              <w:tl2br w:val="nil"/>
              <w:tr2bl w:val="nil"/>
            </w:tcBorders>
            <w:vAlign w:val="center"/>
          </w:tcPr>
          <w:p w:rsidR="003C3FCD" w:rsidRDefault="00343C0E">
            <w:pPr>
              <w:widowControl/>
              <w:jc w:val="center"/>
              <w:rPr>
                <w:rFonts w:cs="Times New Roman"/>
                <w:b/>
                <w:bCs/>
                <w:color w:val="000000" w:themeColor="text1"/>
                <w:sz w:val="21"/>
                <w:szCs w:val="21"/>
                <w:lang w:eastAsia="en-US"/>
              </w:rPr>
            </w:pPr>
            <w:proofErr w:type="spellStart"/>
            <w:r>
              <w:rPr>
                <w:rFonts w:cs="Times New Roman"/>
                <w:b/>
                <w:bCs/>
                <w:color w:val="000000" w:themeColor="text1"/>
                <w:sz w:val="21"/>
                <w:szCs w:val="21"/>
                <w:lang w:eastAsia="en-US"/>
              </w:rPr>
              <w:t>序号</w:t>
            </w:r>
            <w:proofErr w:type="spellEnd"/>
          </w:p>
        </w:tc>
        <w:tc>
          <w:tcPr>
            <w:tcW w:w="2277" w:type="pct"/>
            <w:tcBorders>
              <w:tl2br w:val="nil"/>
              <w:tr2bl w:val="nil"/>
            </w:tcBorders>
            <w:vAlign w:val="center"/>
          </w:tcPr>
          <w:p w:rsidR="003C3FCD" w:rsidRDefault="00343C0E">
            <w:pPr>
              <w:widowControl/>
              <w:jc w:val="center"/>
              <w:rPr>
                <w:rFonts w:cs="Times New Roman"/>
                <w:b/>
                <w:bCs/>
                <w:color w:val="000000" w:themeColor="text1"/>
                <w:sz w:val="21"/>
                <w:szCs w:val="21"/>
                <w:lang w:eastAsia="en-US"/>
              </w:rPr>
            </w:pPr>
            <w:proofErr w:type="spellStart"/>
            <w:r>
              <w:rPr>
                <w:rFonts w:cs="Times New Roman"/>
                <w:b/>
                <w:bCs/>
                <w:color w:val="000000" w:themeColor="text1"/>
                <w:sz w:val="21"/>
                <w:szCs w:val="21"/>
                <w:lang w:eastAsia="en-US"/>
              </w:rPr>
              <w:t>项目名称</w:t>
            </w:r>
            <w:proofErr w:type="spellEnd"/>
          </w:p>
        </w:tc>
        <w:tc>
          <w:tcPr>
            <w:tcW w:w="1108" w:type="pct"/>
            <w:tcBorders>
              <w:tl2br w:val="nil"/>
              <w:tr2bl w:val="nil"/>
            </w:tcBorders>
            <w:vAlign w:val="center"/>
          </w:tcPr>
          <w:p w:rsidR="003C3FCD" w:rsidRDefault="00343C0E">
            <w:pPr>
              <w:widowControl/>
              <w:jc w:val="center"/>
              <w:rPr>
                <w:rFonts w:cs="Times New Roman"/>
                <w:b/>
                <w:bCs/>
                <w:color w:val="000000" w:themeColor="text1"/>
                <w:sz w:val="21"/>
                <w:szCs w:val="21"/>
                <w:lang w:eastAsia="en-US"/>
              </w:rPr>
            </w:pPr>
            <w:proofErr w:type="spellStart"/>
            <w:r>
              <w:rPr>
                <w:rFonts w:cs="Times New Roman"/>
                <w:b/>
                <w:bCs/>
                <w:color w:val="000000" w:themeColor="text1"/>
                <w:sz w:val="21"/>
                <w:szCs w:val="21"/>
                <w:lang w:eastAsia="en-US"/>
              </w:rPr>
              <w:t>拟投资总额</w:t>
            </w:r>
            <w:proofErr w:type="spellEnd"/>
          </w:p>
          <w:p w:rsidR="003C3FCD" w:rsidRDefault="00343C0E">
            <w:pPr>
              <w:widowControl/>
              <w:jc w:val="center"/>
              <w:rPr>
                <w:rFonts w:cs="Times New Roman"/>
                <w:b/>
                <w:bCs/>
                <w:color w:val="000000" w:themeColor="text1"/>
                <w:sz w:val="21"/>
                <w:szCs w:val="21"/>
                <w:lang w:eastAsia="en-US"/>
              </w:rPr>
            </w:pPr>
            <w:r>
              <w:rPr>
                <w:rFonts w:cs="Times New Roman"/>
                <w:b/>
                <w:bCs/>
                <w:color w:val="000000" w:themeColor="text1"/>
                <w:sz w:val="21"/>
                <w:szCs w:val="21"/>
              </w:rPr>
              <w:t>（万元）</w:t>
            </w:r>
          </w:p>
        </w:tc>
        <w:tc>
          <w:tcPr>
            <w:tcW w:w="1220" w:type="pct"/>
            <w:tcBorders>
              <w:tl2br w:val="nil"/>
              <w:tr2bl w:val="nil"/>
            </w:tcBorders>
            <w:vAlign w:val="center"/>
          </w:tcPr>
          <w:p w:rsidR="003C3FCD" w:rsidRDefault="00343C0E">
            <w:pPr>
              <w:widowControl/>
              <w:jc w:val="center"/>
              <w:rPr>
                <w:rFonts w:cs="Times New Roman"/>
                <w:b/>
                <w:bCs/>
                <w:color w:val="000000" w:themeColor="text1"/>
                <w:sz w:val="21"/>
                <w:szCs w:val="21"/>
              </w:rPr>
            </w:pPr>
            <w:r>
              <w:rPr>
                <w:rFonts w:cs="Times New Roman"/>
                <w:b/>
                <w:bCs/>
                <w:color w:val="000000" w:themeColor="text1"/>
                <w:sz w:val="21"/>
                <w:szCs w:val="21"/>
              </w:rPr>
              <w:t>拟投入募集资金金额（万元）</w:t>
            </w:r>
          </w:p>
        </w:tc>
      </w:tr>
      <w:tr w:rsidR="003C3FCD" w:rsidTr="00EA669B">
        <w:trPr>
          <w:trHeight w:val="353"/>
        </w:trPr>
        <w:tc>
          <w:tcPr>
            <w:tcW w:w="393" w:type="pct"/>
            <w:tcBorders>
              <w:tl2br w:val="nil"/>
              <w:tr2bl w:val="nil"/>
            </w:tcBorders>
            <w:vAlign w:val="center"/>
          </w:tcPr>
          <w:p w:rsidR="003C3FCD" w:rsidRDefault="00343C0E">
            <w:pPr>
              <w:widowControl/>
              <w:jc w:val="center"/>
              <w:rPr>
                <w:rFonts w:cs="Times New Roman"/>
                <w:color w:val="000000" w:themeColor="text1"/>
                <w:sz w:val="21"/>
                <w:szCs w:val="21"/>
                <w:lang w:eastAsia="en-US"/>
              </w:rPr>
            </w:pPr>
            <w:r>
              <w:rPr>
                <w:rFonts w:cs="Times New Roman"/>
                <w:color w:val="000000" w:themeColor="text1"/>
                <w:sz w:val="21"/>
                <w:szCs w:val="21"/>
                <w:lang w:eastAsia="en-US"/>
              </w:rPr>
              <w:t>1</w:t>
            </w:r>
          </w:p>
        </w:tc>
        <w:tc>
          <w:tcPr>
            <w:tcW w:w="2277" w:type="pct"/>
            <w:tcBorders>
              <w:tl2br w:val="nil"/>
              <w:tr2bl w:val="nil"/>
            </w:tcBorders>
            <w:vAlign w:val="center"/>
          </w:tcPr>
          <w:p w:rsidR="003C3FCD" w:rsidRDefault="00343C0E">
            <w:pPr>
              <w:widowControl/>
              <w:jc w:val="left"/>
              <w:rPr>
                <w:rFonts w:cs="Times New Roman"/>
                <w:color w:val="000000" w:themeColor="text1"/>
                <w:sz w:val="21"/>
                <w:szCs w:val="21"/>
              </w:rPr>
            </w:pPr>
            <w:r>
              <w:rPr>
                <w:rFonts w:cs="Times New Roman"/>
                <w:color w:val="000000" w:themeColor="text1"/>
                <w:sz w:val="21"/>
                <w:szCs w:val="21"/>
              </w:rPr>
              <w:t>宝坻新城第二水厂工程（一期）项目</w:t>
            </w:r>
          </w:p>
        </w:tc>
        <w:tc>
          <w:tcPr>
            <w:tcW w:w="1108" w:type="pct"/>
            <w:tcBorders>
              <w:tl2br w:val="nil"/>
              <w:tr2bl w:val="nil"/>
            </w:tcBorders>
            <w:vAlign w:val="center"/>
          </w:tcPr>
          <w:p w:rsidR="003C3FCD" w:rsidRDefault="00343C0E">
            <w:pPr>
              <w:widowControl/>
              <w:ind w:rightChars="59" w:right="142"/>
              <w:jc w:val="right"/>
              <w:rPr>
                <w:rFonts w:cs="Times New Roman"/>
                <w:color w:val="000000" w:themeColor="text1"/>
                <w:sz w:val="21"/>
                <w:szCs w:val="21"/>
              </w:rPr>
            </w:pPr>
            <w:r>
              <w:rPr>
                <w:rFonts w:cs="Times New Roman"/>
                <w:color w:val="000000" w:themeColor="text1"/>
                <w:sz w:val="21"/>
                <w:szCs w:val="21"/>
              </w:rPr>
              <w:t>37,839.85</w:t>
            </w:r>
          </w:p>
        </w:tc>
        <w:tc>
          <w:tcPr>
            <w:tcW w:w="1220" w:type="pct"/>
            <w:tcBorders>
              <w:tl2br w:val="nil"/>
              <w:tr2bl w:val="nil"/>
            </w:tcBorders>
            <w:vAlign w:val="center"/>
          </w:tcPr>
          <w:p w:rsidR="003C3FCD" w:rsidRDefault="00343C0E">
            <w:pPr>
              <w:widowControl/>
              <w:tabs>
                <w:tab w:val="left" w:pos="1920"/>
              </w:tabs>
              <w:ind w:rightChars="34" w:right="82"/>
              <w:jc w:val="right"/>
              <w:rPr>
                <w:rFonts w:cs="Times New Roman"/>
                <w:color w:val="000000" w:themeColor="text1"/>
                <w:sz w:val="21"/>
                <w:szCs w:val="21"/>
                <w:lang w:eastAsia="en-US"/>
              </w:rPr>
            </w:pPr>
            <w:r>
              <w:rPr>
                <w:rFonts w:cs="Times New Roman"/>
                <w:color w:val="000000" w:themeColor="text1"/>
                <w:sz w:val="21"/>
                <w:szCs w:val="21"/>
              </w:rPr>
              <w:t>21</w:t>
            </w:r>
            <w:r>
              <w:rPr>
                <w:rFonts w:cs="Times New Roman"/>
                <w:color w:val="000000" w:themeColor="text1"/>
                <w:sz w:val="21"/>
                <w:szCs w:val="21"/>
                <w:lang w:eastAsia="en-US"/>
              </w:rPr>
              <w:t>,000.00</w:t>
            </w:r>
          </w:p>
        </w:tc>
      </w:tr>
      <w:tr w:rsidR="003C3FCD" w:rsidTr="00EA669B">
        <w:trPr>
          <w:trHeight w:val="353"/>
        </w:trPr>
        <w:tc>
          <w:tcPr>
            <w:tcW w:w="393" w:type="pct"/>
            <w:tcBorders>
              <w:tl2br w:val="nil"/>
              <w:tr2bl w:val="nil"/>
            </w:tcBorders>
            <w:vAlign w:val="center"/>
          </w:tcPr>
          <w:p w:rsidR="003C3FCD" w:rsidRDefault="00343C0E">
            <w:pPr>
              <w:widowControl/>
              <w:jc w:val="center"/>
              <w:rPr>
                <w:rFonts w:cs="Times New Roman"/>
                <w:color w:val="000000" w:themeColor="text1"/>
                <w:sz w:val="21"/>
                <w:szCs w:val="21"/>
              </w:rPr>
            </w:pPr>
            <w:r>
              <w:rPr>
                <w:rFonts w:cs="Times New Roman"/>
                <w:color w:val="000000" w:themeColor="text1"/>
                <w:sz w:val="21"/>
                <w:szCs w:val="21"/>
              </w:rPr>
              <w:t>2</w:t>
            </w:r>
          </w:p>
        </w:tc>
        <w:tc>
          <w:tcPr>
            <w:tcW w:w="2277" w:type="pct"/>
            <w:tcBorders>
              <w:tl2br w:val="nil"/>
              <w:tr2bl w:val="nil"/>
            </w:tcBorders>
            <w:vAlign w:val="center"/>
          </w:tcPr>
          <w:p w:rsidR="003C3FCD" w:rsidRDefault="00343C0E">
            <w:pPr>
              <w:widowControl/>
              <w:jc w:val="left"/>
              <w:rPr>
                <w:rFonts w:cs="Times New Roman"/>
                <w:color w:val="000000" w:themeColor="text1"/>
                <w:sz w:val="21"/>
                <w:szCs w:val="21"/>
              </w:rPr>
            </w:pPr>
            <w:r>
              <w:rPr>
                <w:rFonts w:cs="Times New Roman"/>
                <w:color w:val="000000" w:themeColor="text1"/>
                <w:sz w:val="21"/>
                <w:szCs w:val="21"/>
              </w:rPr>
              <w:t>补充流动资金</w:t>
            </w:r>
          </w:p>
        </w:tc>
        <w:tc>
          <w:tcPr>
            <w:tcW w:w="1108" w:type="pct"/>
            <w:tcBorders>
              <w:tl2br w:val="nil"/>
              <w:tr2bl w:val="nil"/>
            </w:tcBorders>
            <w:vAlign w:val="bottom"/>
          </w:tcPr>
          <w:p w:rsidR="003C3FCD" w:rsidRDefault="00343C0E">
            <w:pPr>
              <w:widowControl/>
              <w:ind w:rightChars="59" w:right="142"/>
              <w:jc w:val="right"/>
              <w:rPr>
                <w:rFonts w:cs="Times New Roman"/>
                <w:color w:val="000000" w:themeColor="text1"/>
                <w:sz w:val="21"/>
                <w:szCs w:val="21"/>
              </w:rPr>
            </w:pPr>
            <w:r>
              <w:rPr>
                <w:rFonts w:cs="Times New Roman"/>
                <w:color w:val="000000" w:themeColor="text1"/>
                <w:sz w:val="21"/>
                <w:szCs w:val="21"/>
              </w:rPr>
              <w:t>9,000.00</w:t>
            </w:r>
          </w:p>
        </w:tc>
        <w:tc>
          <w:tcPr>
            <w:tcW w:w="1220" w:type="pct"/>
            <w:tcBorders>
              <w:tl2br w:val="nil"/>
              <w:tr2bl w:val="nil"/>
            </w:tcBorders>
            <w:vAlign w:val="center"/>
          </w:tcPr>
          <w:p w:rsidR="003C3FCD" w:rsidRDefault="00343C0E">
            <w:pPr>
              <w:widowControl/>
              <w:tabs>
                <w:tab w:val="left" w:pos="1920"/>
              </w:tabs>
              <w:ind w:rightChars="34" w:right="82"/>
              <w:jc w:val="right"/>
              <w:rPr>
                <w:rFonts w:cs="Times New Roman"/>
                <w:color w:val="000000" w:themeColor="text1"/>
                <w:sz w:val="21"/>
                <w:szCs w:val="21"/>
              </w:rPr>
            </w:pPr>
            <w:r>
              <w:rPr>
                <w:rFonts w:cs="Times New Roman"/>
                <w:color w:val="000000" w:themeColor="text1"/>
                <w:sz w:val="21"/>
                <w:szCs w:val="21"/>
              </w:rPr>
              <w:t>9,000.00</w:t>
            </w:r>
          </w:p>
        </w:tc>
      </w:tr>
      <w:tr w:rsidR="003C3FCD" w:rsidTr="00EA669B">
        <w:trPr>
          <w:trHeight w:val="411"/>
        </w:trPr>
        <w:tc>
          <w:tcPr>
            <w:tcW w:w="2671" w:type="pct"/>
            <w:gridSpan w:val="2"/>
            <w:tcBorders>
              <w:tl2br w:val="nil"/>
              <w:tr2bl w:val="nil"/>
            </w:tcBorders>
            <w:vAlign w:val="center"/>
          </w:tcPr>
          <w:p w:rsidR="003C3FCD" w:rsidRDefault="00343C0E">
            <w:pPr>
              <w:widowControl/>
              <w:jc w:val="center"/>
              <w:rPr>
                <w:rFonts w:cs="Times New Roman"/>
                <w:b/>
                <w:bCs/>
                <w:color w:val="000000" w:themeColor="text1"/>
                <w:sz w:val="21"/>
                <w:szCs w:val="21"/>
                <w:lang w:eastAsia="en-US"/>
              </w:rPr>
            </w:pPr>
            <w:proofErr w:type="spellStart"/>
            <w:r>
              <w:rPr>
                <w:rFonts w:cs="Times New Roman"/>
                <w:b/>
                <w:bCs/>
                <w:color w:val="000000" w:themeColor="text1"/>
                <w:sz w:val="21"/>
                <w:szCs w:val="21"/>
                <w:lang w:eastAsia="en-US"/>
              </w:rPr>
              <w:t>合计</w:t>
            </w:r>
            <w:proofErr w:type="spellEnd"/>
          </w:p>
        </w:tc>
        <w:tc>
          <w:tcPr>
            <w:tcW w:w="1108" w:type="pct"/>
            <w:tcBorders>
              <w:tl2br w:val="nil"/>
              <w:tr2bl w:val="nil"/>
            </w:tcBorders>
            <w:vAlign w:val="center"/>
          </w:tcPr>
          <w:p w:rsidR="003C3FCD" w:rsidRDefault="00343C0E">
            <w:pPr>
              <w:widowControl/>
              <w:ind w:rightChars="59" w:right="142"/>
              <w:jc w:val="right"/>
              <w:rPr>
                <w:rFonts w:cs="Times New Roman"/>
                <w:b/>
                <w:bCs/>
                <w:color w:val="000000" w:themeColor="text1"/>
                <w:sz w:val="21"/>
                <w:szCs w:val="21"/>
              </w:rPr>
            </w:pPr>
            <w:r>
              <w:rPr>
                <w:rFonts w:cs="Times New Roman"/>
                <w:b/>
                <w:bCs/>
                <w:color w:val="000000" w:themeColor="text1"/>
                <w:sz w:val="21"/>
                <w:szCs w:val="21"/>
              </w:rPr>
              <w:t>46,839.85</w:t>
            </w:r>
          </w:p>
        </w:tc>
        <w:tc>
          <w:tcPr>
            <w:tcW w:w="1220" w:type="pct"/>
            <w:tcBorders>
              <w:tl2br w:val="nil"/>
              <w:tr2bl w:val="nil"/>
            </w:tcBorders>
            <w:vAlign w:val="center"/>
          </w:tcPr>
          <w:p w:rsidR="003C3FCD" w:rsidRDefault="00343C0E">
            <w:pPr>
              <w:widowControl/>
              <w:tabs>
                <w:tab w:val="left" w:pos="1920"/>
              </w:tabs>
              <w:ind w:rightChars="34" w:right="82"/>
              <w:jc w:val="right"/>
              <w:rPr>
                <w:rFonts w:cs="Times New Roman"/>
                <w:b/>
                <w:bCs/>
                <w:color w:val="000000" w:themeColor="text1"/>
                <w:sz w:val="21"/>
                <w:szCs w:val="21"/>
                <w:lang w:eastAsia="en-US"/>
              </w:rPr>
            </w:pPr>
            <w:r>
              <w:rPr>
                <w:rFonts w:cs="Times New Roman"/>
                <w:b/>
                <w:bCs/>
                <w:color w:val="000000" w:themeColor="text1"/>
                <w:sz w:val="21"/>
                <w:szCs w:val="21"/>
                <w:lang w:eastAsia="en-US"/>
              </w:rPr>
              <w:t>30,000.00</w:t>
            </w:r>
          </w:p>
        </w:tc>
      </w:tr>
    </w:tbl>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在本次发行股票募集资金到位前，公司将根据经营状况和发展规划对上述拟投资项目用自筹资金进行先期投入，待募集资金到位后将以募集资金置换上述自</w:t>
      </w:r>
      <w:r>
        <w:rPr>
          <w:rFonts w:cs="Times New Roman"/>
          <w:color w:val="000000" w:themeColor="text1"/>
        </w:rPr>
        <w:lastRenderedPageBreak/>
        <w:t>筹资金。本次发行股票后，若本次发行实际募集资金量小于上述投资项目的资金需求，公司将按照项目的轻重缓急等情况，调整并最终决定募集资金投入的优先顺序及各项目的具体投资金额等使用安排，募集资金不足部分由公司自筹解决。</w:t>
      </w:r>
    </w:p>
    <w:p w:rsidR="003C3FCD" w:rsidRDefault="00343C0E">
      <w:pPr>
        <w:pStyle w:val="3"/>
        <w:spacing w:beforeLines="50" w:before="163" w:afterLines="50" w:after="163" w:line="360" w:lineRule="auto"/>
        <w:ind w:firstLineChars="200" w:firstLine="482"/>
        <w:rPr>
          <w:rFonts w:cs="Times New Roman"/>
          <w:color w:val="000000" w:themeColor="text1"/>
          <w:sz w:val="24"/>
        </w:rPr>
      </w:pPr>
      <w:r>
        <w:rPr>
          <w:rFonts w:cs="Times New Roman"/>
          <w:color w:val="000000" w:themeColor="text1"/>
          <w:sz w:val="24"/>
        </w:rPr>
        <w:t>（八）上市公司滚存未分配利润的安排</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在本次发行完成后，公司发行前滚存的未分配利润将由公司新老股东按本次发行后的股份比例共享。</w:t>
      </w:r>
    </w:p>
    <w:p w:rsidR="003C3FCD" w:rsidRDefault="00343C0E">
      <w:pPr>
        <w:pStyle w:val="3"/>
        <w:spacing w:beforeLines="50" w:before="163" w:afterLines="50" w:after="163" w:line="360" w:lineRule="auto"/>
        <w:ind w:firstLineChars="200" w:firstLine="482"/>
        <w:rPr>
          <w:rFonts w:cs="Times New Roman"/>
          <w:color w:val="000000" w:themeColor="text1"/>
          <w:sz w:val="24"/>
        </w:rPr>
      </w:pPr>
      <w:r>
        <w:rPr>
          <w:rFonts w:cs="Times New Roman"/>
          <w:color w:val="000000" w:themeColor="text1"/>
          <w:sz w:val="24"/>
        </w:rPr>
        <w:t>（九）上市地点</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本次发行的股票将申请在深圳证券交易所主板上市交易。</w:t>
      </w:r>
    </w:p>
    <w:p w:rsidR="003C3FCD" w:rsidRDefault="00343C0E">
      <w:pPr>
        <w:pStyle w:val="3"/>
        <w:spacing w:beforeLines="50" w:before="163" w:afterLines="50" w:after="163" w:line="360" w:lineRule="auto"/>
        <w:ind w:firstLineChars="200" w:firstLine="482"/>
        <w:rPr>
          <w:rFonts w:cs="Times New Roman"/>
          <w:color w:val="000000" w:themeColor="text1"/>
          <w:sz w:val="24"/>
        </w:rPr>
      </w:pPr>
      <w:r>
        <w:rPr>
          <w:rFonts w:cs="Times New Roman"/>
          <w:color w:val="000000" w:themeColor="text1"/>
          <w:sz w:val="24"/>
        </w:rPr>
        <w:t>（十）决议有效期</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本次发行决议的有效期限为自</w:t>
      </w:r>
      <w:r>
        <w:rPr>
          <w:rFonts w:cs="Times New Roman"/>
          <w:color w:val="000000" w:themeColor="text1"/>
        </w:rPr>
        <w:t>2022</w:t>
      </w:r>
      <w:r>
        <w:rPr>
          <w:rFonts w:cs="Times New Roman"/>
          <w:color w:val="000000" w:themeColor="text1"/>
        </w:rPr>
        <w:t>年年度股东大会审议通过之日起，至公司</w:t>
      </w:r>
      <w:r>
        <w:rPr>
          <w:rFonts w:cs="Times New Roman"/>
          <w:color w:val="000000" w:themeColor="text1"/>
        </w:rPr>
        <w:t>2023</w:t>
      </w:r>
      <w:r>
        <w:rPr>
          <w:rFonts w:cs="Times New Roman"/>
          <w:color w:val="000000" w:themeColor="text1"/>
        </w:rPr>
        <w:t>年年度股东大会召开之日止。</w:t>
      </w:r>
    </w:p>
    <w:p w:rsidR="003C3FCD" w:rsidRDefault="00343C0E">
      <w:pPr>
        <w:spacing w:beforeLines="50" w:before="163" w:afterLines="50" w:after="163" w:line="360" w:lineRule="auto"/>
        <w:ind w:firstLineChars="200" w:firstLine="480"/>
        <w:rPr>
          <w:rFonts w:cs="Times New Roman"/>
          <w:color w:val="000000" w:themeColor="text1"/>
        </w:rPr>
      </w:pPr>
      <w:proofErr w:type="gramStart"/>
      <w:r>
        <w:rPr>
          <w:rFonts w:cs="Times New Roman"/>
          <w:color w:val="000000" w:themeColor="text1"/>
        </w:rPr>
        <w:t>若相关</w:t>
      </w:r>
      <w:proofErr w:type="gramEnd"/>
      <w:r>
        <w:rPr>
          <w:rFonts w:cs="Times New Roman"/>
          <w:color w:val="000000" w:themeColor="text1"/>
        </w:rPr>
        <w:t>法律、法规和规范性文件对以简易程序向特定对象发行股票</w:t>
      </w:r>
      <w:r>
        <w:rPr>
          <w:rFonts w:cs="Times New Roman" w:hint="eastAsia"/>
          <w:color w:val="000000" w:themeColor="text1"/>
        </w:rPr>
        <w:t>方案</w:t>
      </w:r>
      <w:r>
        <w:rPr>
          <w:rFonts w:cs="Times New Roman"/>
          <w:color w:val="000000" w:themeColor="text1"/>
        </w:rPr>
        <w:t>有新的规定，公司将按新的规定进行相应调整。</w:t>
      </w:r>
    </w:p>
    <w:p w:rsidR="003C3FCD" w:rsidRDefault="00343C0E">
      <w:pPr>
        <w:pStyle w:val="2"/>
        <w:spacing w:before="120" w:after="120" w:line="360" w:lineRule="auto"/>
        <w:rPr>
          <w:rFonts w:ascii="Times New Roman" w:eastAsia="黑体" w:hAnsi="Times New Roman" w:cs="Times New Roman"/>
          <w:color w:val="000000" w:themeColor="text1"/>
          <w:sz w:val="28"/>
        </w:rPr>
      </w:pPr>
      <w:bookmarkStart w:id="10" w:name="_Toc146198212"/>
      <w:r>
        <w:rPr>
          <w:rFonts w:ascii="Times New Roman" w:eastAsia="黑体" w:hAnsi="Times New Roman" w:cs="Times New Roman"/>
          <w:color w:val="000000" w:themeColor="text1"/>
          <w:sz w:val="28"/>
        </w:rPr>
        <w:t>五、本次发行是否构成关联交易</w:t>
      </w:r>
      <w:bookmarkEnd w:id="10"/>
      <w:r>
        <w:rPr>
          <w:rFonts w:ascii="Times New Roman" w:eastAsia="黑体" w:hAnsi="Times New Roman" w:cs="Times New Roman"/>
          <w:color w:val="000000" w:themeColor="text1"/>
          <w:sz w:val="28"/>
        </w:rPr>
        <w:tab/>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截至本预案披露日，本次发行尚未确定具体的发行对象，因而无法确定本次发行是否构成关联交易。公司将在发行结束后相关公告中披露发行对象与公司之间的关系。</w:t>
      </w:r>
    </w:p>
    <w:p w:rsidR="003C3FCD" w:rsidRDefault="00343C0E">
      <w:pPr>
        <w:pStyle w:val="2"/>
        <w:spacing w:before="120" w:after="120" w:line="360" w:lineRule="auto"/>
        <w:rPr>
          <w:rFonts w:ascii="Times New Roman" w:eastAsia="黑体" w:hAnsi="Times New Roman" w:cs="Times New Roman"/>
          <w:color w:val="000000" w:themeColor="text1"/>
          <w:sz w:val="28"/>
        </w:rPr>
      </w:pPr>
      <w:bookmarkStart w:id="11" w:name="_Toc146198213"/>
      <w:r>
        <w:rPr>
          <w:rFonts w:ascii="Times New Roman" w:eastAsia="黑体" w:hAnsi="Times New Roman" w:cs="Times New Roman"/>
          <w:color w:val="000000" w:themeColor="text1"/>
          <w:sz w:val="28"/>
        </w:rPr>
        <w:t>六、本次发行是否导致公司控制权发生变化</w:t>
      </w:r>
      <w:bookmarkEnd w:id="11"/>
      <w:r>
        <w:rPr>
          <w:rFonts w:ascii="Times New Roman" w:eastAsia="黑体" w:hAnsi="Times New Roman" w:cs="Times New Roman"/>
          <w:color w:val="000000" w:themeColor="text1"/>
          <w:sz w:val="28"/>
        </w:rPr>
        <w:tab/>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截至本预案披露日，公司控股股东为天津兴津企业管理有限公司，持有公司</w:t>
      </w:r>
      <w:r>
        <w:rPr>
          <w:rFonts w:cs="Times New Roman"/>
          <w:color w:val="000000" w:themeColor="text1"/>
        </w:rPr>
        <w:t>22.46%</w:t>
      </w:r>
      <w:r>
        <w:rPr>
          <w:rFonts w:cs="Times New Roman"/>
          <w:color w:val="000000" w:themeColor="text1"/>
        </w:rPr>
        <w:t>股份。天津水务集团有限公司持有公司</w:t>
      </w:r>
      <w:r>
        <w:rPr>
          <w:rFonts w:cs="Times New Roman"/>
          <w:color w:val="000000" w:themeColor="text1"/>
        </w:rPr>
        <w:t>13.01%</w:t>
      </w:r>
      <w:r>
        <w:rPr>
          <w:rFonts w:cs="Times New Roman"/>
          <w:color w:val="000000" w:themeColor="text1"/>
        </w:rPr>
        <w:t>股份，</w:t>
      </w:r>
      <w:r>
        <w:rPr>
          <w:rFonts w:cs="Times New Roman" w:hint="eastAsia"/>
          <w:color w:val="000000" w:themeColor="text1"/>
        </w:rPr>
        <w:t>与</w:t>
      </w:r>
      <w:r>
        <w:rPr>
          <w:rFonts w:cs="Times New Roman"/>
          <w:color w:val="000000" w:themeColor="text1"/>
        </w:rPr>
        <w:t>兴津公司</w:t>
      </w:r>
      <w:r>
        <w:rPr>
          <w:rFonts w:cs="Times New Roman" w:hint="eastAsia"/>
          <w:color w:val="000000" w:themeColor="text1"/>
        </w:rPr>
        <w:t>互为</w:t>
      </w:r>
      <w:r>
        <w:rPr>
          <w:rFonts w:cs="Times New Roman"/>
          <w:color w:val="000000" w:themeColor="text1"/>
        </w:rPr>
        <w:t>一致行动人。天津市国资</w:t>
      </w:r>
      <w:proofErr w:type="gramStart"/>
      <w:r>
        <w:rPr>
          <w:rFonts w:cs="Times New Roman"/>
          <w:color w:val="000000" w:themeColor="text1"/>
        </w:rPr>
        <w:t>委控制</w:t>
      </w:r>
      <w:proofErr w:type="gramEnd"/>
      <w:r>
        <w:rPr>
          <w:rFonts w:cs="Times New Roman"/>
          <w:color w:val="000000" w:themeColor="text1"/>
        </w:rPr>
        <w:t>公司股份比例合计</w:t>
      </w:r>
      <w:r>
        <w:rPr>
          <w:rFonts w:cs="Times New Roman"/>
          <w:color w:val="000000" w:themeColor="text1"/>
        </w:rPr>
        <w:t>35.47%</w:t>
      </w:r>
      <w:r>
        <w:rPr>
          <w:rFonts w:cs="Times New Roman"/>
          <w:color w:val="000000" w:themeColor="text1"/>
        </w:rPr>
        <w:t>，为公司的实际控制人。</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本次发行完成后，按照发行上限测算，天津市国资委仍为公司的实际控制人，本次发行不会导致公司的控制权发生变化。</w:t>
      </w:r>
    </w:p>
    <w:p w:rsidR="003C3FCD" w:rsidRDefault="00343C0E">
      <w:pPr>
        <w:pStyle w:val="2"/>
        <w:spacing w:before="120" w:after="120" w:line="360" w:lineRule="auto"/>
        <w:rPr>
          <w:rFonts w:ascii="Times New Roman" w:eastAsia="黑体" w:hAnsi="Times New Roman" w:cs="Times New Roman"/>
          <w:color w:val="000000" w:themeColor="text1"/>
          <w:sz w:val="28"/>
        </w:rPr>
      </w:pPr>
      <w:bookmarkStart w:id="12" w:name="_Toc146198214"/>
      <w:r>
        <w:rPr>
          <w:rFonts w:ascii="Times New Roman" w:eastAsia="黑体" w:hAnsi="Times New Roman" w:cs="Times New Roman"/>
          <w:color w:val="000000" w:themeColor="text1"/>
          <w:sz w:val="28"/>
        </w:rPr>
        <w:lastRenderedPageBreak/>
        <w:t>七、本次发行不会导致股权分布不具备上市条件</w:t>
      </w:r>
      <w:bookmarkEnd w:id="12"/>
      <w:r>
        <w:rPr>
          <w:rFonts w:ascii="Times New Roman" w:eastAsia="黑体" w:hAnsi="Times New Roman" w:cs="Times New Roman"/>
          <w:color w:val="000000" w:themeColor="text1"/>
          <w:sz w:val="28"/>
        </w:rPr>
        <w:tab/>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本次发行不会导致股权分布不具备上市条件。</w:t>
      </w:r>
    </w:p>
    <w:p w:rsidR="003C3FCD" w:rsidRDefault="00343C0E">
      <w:pPr>
        <w:pStyle w:val="2"/>
        <w:spacing w:before="120" w:after="120" w:line="360" w:lineRule="auto"/>
        <w:rPr>
          <w:rFonts w:ascii="Times New Roman" w:eastAsia="黑体" w:hAnsi="Times New Roman" w:cs="Times New Roman"/>
          <w:color w:val="000000" w:themeColor="text1"/>
          <w:sz w:val="28"/>
        </w:rPr>
      </w:pPr>
      <w:bookmarkStart w:id="13" w:name="_Toc146198215"/>
      <w:r>
        <w:rPr>
          <w:rFonts w:ascii="Times New Roman" w:eastAsia="黑体" w:hAnsi="Times New Roman" w:cs="Times New Roman"/>
          <w:color w:val="000000" w:themeColor="text1"/>
          <w:sz w:val="28"/>
        </w:rPr>
        <w:t>八、本次发行的审批程序</w:t>
      </w:r>
      <w:bookmarkEnd w:id="13"/>
      <w:r>
        <w:rPr>
          <w:rFonts w:ascii="Times New Roman" w:eastAsia="黑体" w:hAnsi="Times New Roman" w:cs="Times New Roman"/>
          <w:color w:val="000000" w:themeColor="text1"/>
          <w:sz w:val="28"/>
        </w:rPr>
        <w:tab/>
      </w:r>
    </w:p>
    <w:p w:rsidR="003C3FCD" w:rsidRDefault="00343C0E">
      <w:pPr>
        <w:pStyle w:val="3"/>
        <w:spacing w:before="120" w:after="120" w:line="360" w:lineRule="auto"/>
        <w:ind w:firstLineChars="200" w:firstLine="482"/>
        <w:rPr>
          <w:rFonts w:cs="Times New Roman"/>
          <w:color w:val="000000" w:themeColor="text1"/>
          <w:sz w:val="24"/>
        </w:rPr>
      </w:pPr>
      <w:r>
        <w:rPr>
          <w:rFonts w:cs="Times New Roman"/>
          <w:color w:val="000000" w:themeColor="text1"/>
          <w:sz w:val="24"/>
        </w:rPr>
        <w:t>（一）已履行的审批程序</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2023</w:t>
      </w:r>
      <w:r>
        <w:rPr>
          <w:rFonts w:cs="Times New Roman"/>
          <w:color w:val="000000" w:themeColor="text1"/>
        </w:rPr>
        <w:t>年</w:t>
      </w:r>
      <w:r>
        <w:rPr>
          <w:rFonts w:cs="Times New Roman"/>
          <w:color w:val="000000" w:themeColor="text1"/>
        </w:rPr>
        <w:t>4</w:t>
      </w:r>
      <w:r>
        <w:rPr>
          <w:rFonts w:cs="Times New Roman"/>
          <w:color w:val="000000" w:themeColor="text1"/>
        </w:rPr>
        <w:t>月</w:t>
      </w:r>
      <w:r>
        <w:rPr>
          <w:rFonts w:cs="Times New Roman"/>
          <w:color w:val="000000" w:themeColor="text1"/>
        </w:rPr>
        <w:t>28</w:t>
      </w:r>
      <w:r>
        <w:rPr>
          <w:rFonts w:cs="Times New Roman"/>
          <w:color w:val="000000" w:themeColor="text1"/>
        </w:rPr>
        <w:t>日和</w:t>
      </w:r>
      <w:r>
        <w:rPr>
          <w:rFonts w:cs="Times New Roman"/>
          <w:color w:val="000000" w:themeColor="text1"/>
        </w:rPr>
        <w:t>2023</w:t>
      </w:r>
      <w:r>
        <w:rPr>
          <w:rFonts w:cs="Times New Roman"/>
          <w:color w:val="000000" w:themeColor="text1"/>
        </w:rPr>
        <w:t>年</w:t>
      </w:r>
      <w:r>
        <w:rPr>
          <w:rFonts w:cs="Times New Roman"/>
          <w:color w:val="000000" w:themeColor="text1"/>
        </w:rPr>
        <w:t>5</w:t>
      </w:r>
      <w:r>
        <w:rPr>
          <w:rFonts w:cs="Times New Roman"/>
          <w:color w:val="000000" w:themeColor="text1"/>
        </w:rPr>
        <w:t>月</w:t>
      </w:r>
      <w:r>
        <w:rPr>
          <w:rFonts w:cs="Times New Roman"/>
          <w:color w:val="000000" w:themeColor="text1"/>
        </w:rPr>
        <w:t>22</w:t>
      </w:r>
      <w:r>
        <w:rPr>
          <w:rFonts w:cs="Times New Roman"/>
          <w:color w:val="000000" w:themeColor="text1"/>
        </w:rPr>
        <w:t>日，公司第八届董事会第三次会议和</w:t>
      </w:r>
      <w:r>
        <w:rPr>
          <w:rFonts w:cs="Times New Roman"/>
          <w:color w:val="000000" w:themeColor="text1"/>
        </w:rPr>
        <w:t>2022</w:t>
      </w:r>
      <w:r>
        <w:rPr>
          <w:rFonts w:cs="Times New Roman"/>
          <w:color w:val="000000" w:themeColor="text1"/>
        </w:rPr>
        <w:t>年年度股东大会分别审议通过了关于提请股东大会授权董事会办理以简易程序向特定对象发行股票的议案。</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根据公司</w:t>
      </w:r>
      <w:r>
        <w:rPr>
          <w:rFonts w:cs="Times New Roman"/>
          <w:color w:val="000000" w:themeColor="text1"/>
        </w:rPr>
        <w:t>2022</w:t>
      </w:r>
      <w:r>
        <w:rPr>
          <w:rFonts w:cs="Times New Roman"/>
          <w:color w:val="000000" w:themeColor="text1"/>
        </w:rPr>
        <w:t>年年度股东大会的授权，公司于</w:t>
      </w:r>
      <w:r>
        <w:rPr>
          <w:rFonts w:cs="Times New Roman"/>
          <w:color w:val="000000" w:themeColor="text1"/>
        </w:rPr>
        <w:t>2024</w:t>
      </w:r>
      <w:r>
        <w:rPr>
          <w:rFonts w:cs="Times New Roman"/>
          <w:color w:val="000000" w:themeColor="text1"/>
        </w:rPr>
        <w:t>年</w:t>
      </w:r>
      <w:r>
        <w:rPr>
          <w:rFonts w:cs="Times New Roman"/>
          <w:color w:val="000000" w:themeColor="text1"/>
        </w:rPr>
        <w:t>1</w:t>
      </w:r>
      <w:r>
        <w:rPr>
          <w:rFonts w:cs="Times New Roman"/>
          <w:color w:val="000000" w:themeColor="text1"/>
        </w:rPr>
        <w:t>月</w:t>
      </w:r>
      <w:r>
        <w:rPr>
          <w:rFonts w:cs="Times New Roman"/>
          <w:color w:val="000000" w:themeColor="text1"/>
        </w:rPr>
        <w:t>12</w:t>
      </w:r>
      <w:r>
        <w:rPr>
          <w:rFonts w:cs="Times New Roman"/>
          <w:color w:val="000000" w:themeColor="text1"/>
        </w:rPr>
        <w:t>日召开第八届董事会第十次（临时）会议，审议通过了本次发行方案及其他发行相关事宜。</w:t>
      </w:r>
    </w:p>
    <w:p w:rsidR="003C3FCD" w:rsidRDefault="00343C0E">
      <w:pPr>
        <w:pStyle w:val="3"/>
        <w:spacing w:before="120" w:after="120" w:line="360" w:lineRule="auto"/>
        <w:ind w:firstLineChars="200" w:firstLine="482"/>
        <w:rPr>
          <w:rFonts w:cs="Times New Roman"/>
          <w:color w:val="000000" w:themeColor="text1"/>
          <w:sz w:val="24"/>
        </w:rPr>
      </w:pPr>
      <w:r>
        <w:rPr>
          <w:rFonts w:cs="Times New Roman"/>
          <w:color w:val="000000" w:themeColor="text1"/>
          <w:sz w:val="24"/>
        </w:rPr>
        <w:t>（二）尚需履行的审批程序</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1</w:t>
      </w:r>
      <w:r>
        <w:rPr>
          <w:rFonts w:cs="Times New Roman"/>
          <w:color w:val="000000" w:themeColor="text1"/>
        </w:rPr>
        <w:t>、有权国资监管部门关于公司本次发行股份事项的批复。</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2</w:t>
      </w:r>
      <w:r>
        <w:rPr>
          <w:rFonts w:cs="Times New Roman"/>
          <w:color w:val="000000" w:themeColor="text1"/>
        </w:rPr>
        <w:t>、竞价完成后，公司董事会审议通过本次发行具体方案。</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3</w:t>
      </w:r>
      <w:r>
        <w:rPr>
          <w:rFonts w:cs="Times New Roman"/>
          <w:color w:val="000000" w:themeColor="text1"/>
        </w:rPr>
        <w:t>、深圳证券交易所审核并</w:t>
      </w:r>
      <w:proofErr w:type="gramStart"/>
      <w:r>
        <w:rPr>
          <w:rFonts w:cs="Times New Roman"/>
          <w:color w:val="000000" w:themeColor="text1"/>
        </w:rPr>
        <w:t>作出</w:t>
      </w:r>
      <w:proofErr w:type="gramEnd"/>
      <w:r>
        <w:rPr>
          <w:rFonts w:cs="Times New Roman"/>
          <w:color w:val="000000" w:themeColor="text1"/>
        </w:rPr>
        <w:t>公司本次发行符合发行条件、上市条件和信息披露要求的审核意见。</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4</w:t>
      </w:r>
      <w:r>
        <w:rPr>
          <w:rFonts w:cs="Times New Roman"/>
          <w:color w:val="000000" w:themeColor="text1"/>
        </w:rPr>
        <w:t>、中国证监会对公司本次发行的注册申请</w:t>
      </w:r>
      <w:proofErr w:type="gramStart"/>
      <w:r>
        <w:rPr>
          <w:rFonts w:cs="Times New Roman"/>
          <w:color w:val="000000" w:themeColor="text1"/>
        </w:rPr>
        <w:t>作出</w:t>
      </w:r>
      <w:proofErr w:type="gramEnd"/>
      <w:r>
        <w:rPr>
          <w:rFonts w:cs="Times New Roman"/>
          <w:color w:val="000000" w:themeColor="text1"/>
        </w:rPr>
        <w:t>同意注册的决定。</w:t>
      </w:r>
    </w:p>
    <w:p w:rsidR="003C3FCD" w:rsidRDefault="00343C0E">
      <w:pPr>
        <w:widowControl/>
        <w:jc w:val="left"/>
        <w:rPr>
          <w:rFonts w:cs="Times New Roman"/>
          <w:b/>
          <w:color w:val="000000" w:themeColor="text1"/>
        </w:rPr>
      </w:pPr>
      <w:r>
        <w:rPr>
          <w:rFonts w:cs="Times New Roman"/>
          <w:b/>
          <w:color w:val="000000" w:themeColor="text1"/>
        </w:rPr>
        <w:br w:type="page"/>
      </w:r>
    </w:p>
    <w:p w:rsidR="003C3FCD" w:rsidRDefault="00343C0E">
      <w:pPr>
        <w:pStyle w:val="1"/>
        <w:jc w:val="center"/>
        <w:rPr>
          <w:rFonts w:cs="Times New Roman"/>
          <w:color w:val="000000" w:themeColor="text1"/>
          <w:sz w:val="32"/>
        </w:rPr>
      </w:pPr>
      <w:bookmarkStart w:id="14" w:name="_Toc146198216"/>
      <w:r>
        <w:rPr>
          <w:rFonts w:cs="Times New Roman"/>
          <w:color w:val="000000" w:themeColor="text1"/>
          <w:sz w:val="32"/>
        </w:rPr>
        <w:lastRenderedPageBreak/>
        <w:t>第二节</w:t>
      </w:r>
      <w:r>
        <w:rPr>
          <w:rFonts w:cs="Times New Roman"/>
          <w:color w:val="000000" w:themeColor="text1"/>
          <w:sz w:val="32"/>
        </w:rPr>
        <w:t xml:space="preserve"> </w:t>
      </w:r>
      <w:r>
        <w:rPr>
          <w:rFonts w:cs="Times New Roman"/>
          <w:color w:val="000000" w:themeColor="text1"/>
          <w:sz w:val="32"/>
        </w:rPr>
        <w:t>董事会关于本次募集资金运用的可行性分析</w:t>
      </w:r>
      <w:bookmarkEnd w:id="14"/>
    </w:p>
    <w:p w:rsidR="003C3FCD" w:rsidRDefault="00343C0E">
      <w:pPr>
        <w:pStyle w:val="2"/>
        <w:spacing w:before="120" w:after="120" w:line="360" w:lineRule="auto"/>
        <w:rPr>
          <w:rFonts w:ascii="Times New Roman" w:eastAsia="黑体" w:hAnsi="Times New Roman" w:cs="Times New Roman"/>
          <w:color w:val="000000" w:themeColor="text1"/>
          <w:sz w:val="28"/>
        </w:rPr>
      </w:pPr>
      <w:bookmarkStart w:id="15" w:name="_Toc146198217"/>
      <w:r>
        <w:rPr>
          <w:rFonts w:ascii="Times New Roman" w:eastAsia="黑体" w:hAnsi="Times New Roman" w:cs="Times New Roman"/>
          <w:color w:val="000000" w:themeColor="text1"/>
          <w:sz w:val="28"/>
        </w:rPr>
        <w:t>一、本次发行募集资金投资计划</w:t>
      </w:r>
      <w:bookmarkEnd w:id="15"/>
      <w:r>
        <w:rPr>
          <w:rFonts w:ascii="Times New Roman" w:eastAsia="黑体" w:hAnsi="Times New Roman" w:cs="Times New Roman"/>
          <w:color w:val="000000" w:themeColor="text1"/>
          <w:sz w:val="28"/>
        </w:rPr>
        <w:tab/>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公司本次以简易程序向特定对象发行股票的募集资金总额不超过</w:t>
      </w:r>
      <w:r>
        <w:rPr>
          <w:rFonts w:cs="Times New Roman"/>
          <w:color w:val="000000" w:themeColor="text1"/>
        </w:rPr>
        <w:t>30,000.00</w:t>
      </w:r>
      <w:r>
        <w:rPr>
          <w:rFonts w:cs="Times New Roman"/>
          <w:color w:val="000000" w:themeColor="text1"/>
        </w:rPr>
        <w:t>万元（含本数），扣除发行费用后拟将募集资金全部用于以下项目：</w:t>
      </w:r>
    </w:p>
    <w:tbl>
      <w:tblPr>
        <w:tblStyle w:val="TableNormal"/>
        <w:tblW w:w="4965" w:type="pct"/>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647"/>
        <w:gridCol w:w="3745"/>
        <w:gridCol w:w="1821"/>
        <w:gridCol w:w="2005"/>
      </w:tblGrid>
      <w:tr w:rsidR="003C3FCD" w:rsidTr="00EA669B">
        <w:trPr>
          <w:trHeight w:val="413"/>
        </w:trPr>
        <w:tc>
          <w:tcPr>
            <w:tcW w:w="393" w:type="pct"/>
            <w:tcBorders>
              <w:tl2br w:val="nil"/>
              <w:tr2bl w:val="nil"/>
            </w:tcBorders>
            <w:vAlign w:val="center"/>
          </w:tcPr>
          <w:p w:rsidR="003C3FCD" w:rsidRPr="00EA669B" w:rsidRDefault="00343C0E">
            <w:pPr>
              <w:widowControl/>
              <w:jc w:val="center"/>
              <w:rPr>
                <w:rFonts w:cs="Times New Roman"/>
                <w:b/>
                <w:bCs/>
                <w:color w:val="000000" w:themeColor="text1"/>
                <w:sz w:val="21"/>
                <w:szCs w:val="21"/>
                <w:lang w:eastAsia="en-US"/>
              </w:rPr>
            </w:pPr>
            <w:proofErr w:type="spellStart"/>
            <w:r w:rsidRPr="00EA669B">
              <w:rPr>
                <w:rFonts w:cs="Times New Roman" w:hint="eastAsia"/>
                <w:b/>
                <w:bCs/>
                <w:color w:val="000000" w:themeColor="text1"/>
                <w:sz w:val="21"/>
                <w:szCs w:val="21"/>
                <w:lang w:eastAsia="en-US"/>
              </w:rPr>
              <w:t>序号</w:t>
            </w:r>
            <w:proofErr w:type="spellEnd"/>
          </w:p>
        </w:tc>
        <w:tc>
          <w:tcPr>
            <w:tcW w:w="2277" w:type="pct"/>
            <w:tcBorders>
              <w:tl2br w:val="nil"/>
              <w:tr2bl w:val="nil"/>
            </w:tcBorders>
            <w:vAlign w:val="center"/>
          </w:tcPr>
          <w:p w:rsidR="003C3FCD" w:rsidRPr="00EA669B" w:rsidRDefault="00343C0E">
            <w:pPr>
              <w:widowControl/>
              <w:jc w:val="center"/>
              <w:rPr>
                <w:rFonts w:cs="Times New Roman"/>
                <w:b/>
                <w:bCs/>
                <w:color w:val="000000" w:themeColor="text1"/>
                <w:sz w:val="21"/>
                <w:szCs w:val="21"/>
                <w:lang w:eastAsia="en-US"/>
              </w:rPr>
            </w:pPr>
            <w:proofErr w:type="spellStart"/>
            <w:r w:rsidRPr="00EA669B">
              <w:rPr>
                <w:rFonts w:cs="Times New Roman" w:hint="eastAsia"/>
                <w:b/>
                <w:bCs/>
                <w:color w:val="000000" w:themeColor="text1"/>
                <w:sz w:val="21"/>
                <w:szCs w:val="21"/>
                <w:lang w:eastAsia="en-US"/>
              </w:rPr>
              <w:t>项目名称</w:t>
            </w:r>
            <w:proofErr w:type="spellEnd"/>
          </w:p>
        </w:tc>
        <w:tc>
          <w:tcPr>
            <w:tcW w:w="1108" w:type="pct"/>
            <w:tcBorders>
              <w:tl2br w:val="nil"/>
              <w:tr2bl w:val="nil"/>
            </w:tcBorders>
            <w:vAlign w:val="center"/>
          </w:tcPr>
          <w:p w:rsidR="003C3FCD" w:rsidRPr="00EA669B" w:rsidRDefault="00343C0E">
            <w:pPr>
              <w:widowControl/>
              <w:jc w:val="center"/>
              <w:rPr>
                <w:rFonts w:cs="Times New Roman"/>
                <w:b/>
                <w:bCs/>
                <w:color w:val="000000" w:themeColor="text1"/>
                <w:sz w:val="21"/>
                <w:szCs w:val="21"/>
                <w:lang w:eastAsia="en-US"/>
              </w:rPr>
            </w:pPr>
            <w:proofErr w:type="spellStart"/>
            <w:r w:rsidRPr="00EA669B">
              <w:rPr>
                <w:rFonts w:cs="Times New Roman" w:hint="eastAsia"/>
                <w:b/>
                <w:bCs/>
                <w:color w:val="000000" w:themeColor="text1"/>
                <w:sz w:val="21"/>
                <w:szCs w:val="21"/>
                <w:lang w:eastAsia="en-US"/>
              </w:rPr>
              <w:t>拟投资总额</w:t>
            </w:r>
            <w:proofErr w:type="spellEnd"/>
          </w:p>
          <w:p w:rsidR="003C3FCD" w:rsidRPr="00EA669B" w:rsidRDefault="00343C0E">
            <w:pPr>
              <w:widowControl/>
              <w:jc w:val="center"/>
              <w:rPr>
                <w:rFonts w:cs="Times New Roman"/>
                <w:b/>
                <w:bCs/>
                <w:color w:val="000000" w:themeColor="text1"/>
                <w:sz w:val="21"/>
                <w:szCs w:val="21"/>
                <w:lang w:eastAsia="en-US"/>
              </w:rPr>
            </w:pPr>
            <w:r w:rsidRPr="00EA669B">
              <w:rPr>
                <w:rFonts w:cs="Times New Roman" w:hint="eastAsia"/>
                <w:b/>
                <w:bCs/>
                <w:color w:val="000000" w:themeColor="text1"/>
                <w:sz w:val="21"/>
                <w:szCs w:val="21"/>
              </w:rPr>
              <w:t>（万元）</w:t>
            </w:r>
          </w:p>
        </w:tc>
        <w:tc>
          <w:tcPr>
            <w:tcW w:w="1220" w:type="pct"/>
            <w:tcBorders>
              <w:tl2br w:val="nil"/>
              <w:tr2bl w:val="nil"/>
            </w:tcBorders>
            <w:vAlign w:val="center"/>
          </w:tcPr>
          <w:p w:rsidR="003C3FCD" w:rsidRPr="00EA669B" w:rsidRDefault="00343C0E">
            <w:pPr>
              <w:widowControl/>
              <w:jc w:val="center"/>
              <w:rPr>
                <w:rFonts w:cs="Times New Roman"/>
                <w:b/>
                <w:bCs/>
                <w:color w:val="000000" w:themeColor="text1"/>
                <w:sz w:val="21"/>
                <w:szCs w:val="21"/>
              </w:rPr>
            </w:pPr>
            <w:r w:rsidRPr="00EA669B">
              <w:rPr>
                <w:rFonts w:cs="Times New Roman" w:hint="eastAsia"/>
                <w:b/>
                <w:bCs/>
                <w:color w:val="000000" w:themeColor="text1"/>
                <w:sz w:val="21"/>
                <w:szCs w:val="21"/>
              </w:rPr>
              <w:t>拟投入募集资金金额（万元）</w:t>
            </w:r>
          </w:p>
        </w:tc>
      </w:tr>
      <w:tr w:rsidR="003C3FCD" w:rsidTr="00EA669B">
        <w:trPr>
          <w:trHeight w:val="353"/>
        </w:trPr>
        <w:tc>
          <w:tcPr>
            <w:tcW w:w="393" w:type="pct"/>
            <w:tcBorders>
              <w:tl2br w:val="nil"/>
              <w:tr2bl w:val="nil"/>
            </w:tcBorders>
            <w:vAlign w:val="center"/>
          </w:tcPr>
          <w:p w:rsidR="003C3FCD" w:rsidRDefault="00343C0E">
            <w:pPr>
              <w:widowControl/>
              <w:jc w:val="center"/>
              <w:rPr>
                <w:rFonts w:cs="Times New Roman"/>
                <w:color w:val="000000" w:themeColor="text1"/>
                <w:sz w:val="21"/>
                <w:szCs w:val="21"/>
                <w:lang w:eastAsia="en-US"/>
              </w:rPr>
            </w:pPr>
            <w:r>
              <w:rPr>
                <w:rFonts w:cs="Times New Roman"/>
                <w:color w:val="000000" w:themeColor="text1"/>
                <w:sz w:val="21"/>
                <w:szCs w:val="21"/>
                <w:lang w:eastAsia="en-US"/>
              </w:rPr>
              <w:t>1</w:t>
            </w:r>
          </w:p>
        </w:tc>
        <w:tc>
          <w:tcPr>
            <w:tcW w:w="2277" w:type="pct"/>
            <w:tcBorders>
              <w:tl2br w:val="nil"/>
              <w:tr2bl w:val="nil"/>
            </w:tcBorders>
            <w:vAlign w:val="center"/>
          </w:tcPr>
          <w:p w:rsidR="003C3FCD" w:rsidRDefault="00343C0E">
            <w:pPr>
              <w:widowControl/>
              <w:jc w:val="left"/>
              <w:rPr>
                <w:rFonts w:cs="Times New Roman"/>
                <w:color w:val="000000" w:themeColor="text1"/>
                <w:sz w:val="21"/>
                <w:szCs w:val="21"/>
              </w:rPr>
            </w:pPr>
            <w:r>
              <w:rPr>
                <w:rFonts w:cs="Times New Roman"/>
                <w:color w:val="000000" w:themeColor="text1"/>
                <w:sz w:val="21"/>
                <w:szCs w:val="21"/>
              </w:rPr>
              <w:t>宝坻新城第二水厂工程（一期）项目</w:t>
            </w:r>
          </w:p>
        </w:tc>
        <w:tc>
          <w:tcPr>
            <w:tcW w:w="1108" w:type="pct"/>
            <w:tcBorders>
              <w:tl2br w:val="nil"/>
              <w:tr2bl w:val="nil"/>
            </w:tcBorders>
            <w:vAlign w:val="center"/>
          </w:tcPr>
          <w:p w:rsidR="003C3FCD" w:rsidRDefault="00343C0E">
            <w:pPr>
              <w:widowControl/>
              <w:ind w:rightChars="59" w:right="142"/>
              <w:jc w:val="right"/>
              <w:rPr>
                <w:rFonts w:cs="Times New Roman"/>
                <w:color w:val="000000" w:themeColor="text1"/>
                <w:sz w:val="21"/>
                <w:szCs w:val="21"/>
              </w:rPr>
            </w:pPr>
            <w:r>
              <w:rPr>
                <w:rFonts w:cs="Times New Roman"/>
                <w:color w:val="000000" w:themeColor="text1"/>
                <w:sz w:val="21"/>
                <w:szCs w:val="21"/>
              </w:rPr>
              <w:t>37,839.85</w:t>
            </w:r>
          </w:p>
        </w:tc>
        <w:tc>
          <w:tcPr>
            <w:tcW w:w="1220" w:type="pct"/>
            <w:tcBorders>
              <w:tl2br w:val="nil"/>
              <w:tr2bl w:val="nil"/>
            </w:tcBorders>
            <w:vAlign w:val="center"/>
          </w:tcPr>
          <w:p w:rsidR="003C3FCD" w:rsidRDefault="00343C0E">
            <w:pPr>
              <w:widowControl/>
              <w:ind w:rightChars="34" w:right="82"/>
              <w:jc w:val="right"/>
              <w:rPr>
                <w:rFonts w:cs="Times New Roman"/>
                <w:color w:val="000000" w:themeColor="text1"/>
                <w:sz w:val="21"/>
                <w:szCs w:val="21"/>
                <w:lang w:eastAsia="en-US"/>
              </w:rPr>
            </w:pPr>
            <w:r>
              <w:rPr>
                <w:rFonts w:cs="Times New Roman"/>
                <w:color w:val="000000" w:themeColor="text1"/>
                <w:sz w:val="21"/>
                <w:szCs w:val="21"/>
              </w:rPr>
              <w:t>21</w:t>
            </w:r>
            <w:r>
              <w:rPr>
                <w:rFonts w:cs="Times New Roman"/>
                <w:color w:val="000000" w:themeColor="text1"/>
                <w:sz w:val="21"/>
                <w:szCs w:val="21"/>
                <w:lang w:eastAsia="en-US"/>
              </w:rPr>
              <w:t>,000.00</w:t>
            </w:r>
          </w:p>
        </w:tc>
      </w:tr>
      <w:tr w:rsidR="003C3FCD" w:rsidTr="00EA669B">
        <w:trPr>
          <w:trHeight w:val="353"/>
        </w:trPr>
        <w:tc>
          <w:tcPr>
            <w:tcW w:w="393" w:type="pct"/>
            <w:tcBorders>
              <w:tl2br w:val="nil"/>
              <w:tr2bl w:val="nil"/>
            </w:tcBorders>
            <w:vAlign w:val="center"/>
          </w:tcPr>
          <w:p w:rsidR="003C3FCD" w:rsidRDefault="00343C0E">
            <w:pPr>
              <w:widowControl/>
              <w:jc w:val="center"/>
              <w:rPr>
                <w:rFonts w:cs="Times New Roman"/>
                <w:color w:val="000000" w:themeColor="text1"/>
                <w:sz w:val="21"/>
                <w:szCs w:val="21"/>
              </w:rPr>
            </w:pPr>
            <w:r>
              <w:rPr>
                <w:rFonts w:cs="Times New Roman"/>
                <w:color w:val="000000" w:themeColor="text1"/>
                <w:sz w:val="21"/>
                <w:szCs w:val="21"/>
              </w:rPr>
              <w:t>2</w:t>
            </w:r>
          </w:p>
        </w:tc>
        <w:tc>
          <w:tcPr>
            <w:tcW w:w="2277" w:type="pct"/>
            <w:tcBorders>
              <w:tl2br w:val="nil"/>
              <w:tr2bl w:val="nil"/>
            </w:tcBorders>
            <w:vAlign w:val="center"/>
          </w:tcPr>
          <w:p w:rsidR="003C3FCD" w:rsidRDefault="00343C0E">
            <w:pPr>
              <w:widowControl/>
              <w:jc w:val="left"/>
              <w:rPr>
                <w:rFonts w:cs="Times New Roman"/>
                <w:color w:val="000000" w:themeColor="text1"/>
                <w:sz w:val="21"/>
                <w:szCs w:val="21"/>
              </w:rPr>
            </w:pPr>
            <w:r>
              <w:rPr>
                <w:rFonts w:cs="Times New Roman"/>
                <w:color w:val="000000" w:themeColor="text1"/>
                <w:sz w:val="21"/>
                <w:szCs w:val="21"/>
              </w:rPr>
              <w:t>补充流动资金</w:t>
            </w:r>
          </w:p>
        </w:tc>
        <w:tc>
          <w:tcPr>
            <w:tcW w:w="1108" w:type="pct"/>
            <w:tcBorders>
              <w:tl2br w:val="nil"/>
              <w:tr2bl w:val="nil"/>
            </w:tcBorders>
            <w:vAlign w:val="bottom"/>
          </w:tcPr>
          <w:p w:rsidR="003C3FCD" w:rsidRDefault="00343C0E">
            <w:pPr>
              <w:widowControl/>
              <w:ind w:rightChars="59" w:right="142"/>
              <w:jc w:val="right"/>
              <w:rPr>
                <w:rFonts w:cs="Times New Roman"/>
                <w:color w:val="000000" w:themeColor="text1"/>
                <w:sz w:val="21"/>
                <w:szCs w:val="21"/>
              </w:rPr>
            </w:pPr>
            <w:r>
              <w:rPr>
                <w:rFonts w:cs="Times New Roman"/>
                <w:color w:val="000000" w:themeColor="text1"/>
                <w:sz w:val="21"/>
                <w:szCs w:val="21"/>
              </w:rPr>
              <w:t>9,000.00</w:t>
            </w:r>
          </w:p>
        </w:tc>
        <w:tc>
          <w:tcPr>
            <w:tcW w:w="1220" w:type="pct"/>
            <w:tcBorders>
              <w:tl2br w:val="nil"/>
              <w:tr2bl w:val="nil"/>
            </w:tcBorders>
            <w:vAlign w:val="center"/>
          </w:tcPr>
          <w:p w:rsidR="003C3FCD" w:rsidRDefault="00343C0E">
            <w:pPr>
              <w:widowControl/>
              <w:ind w:rightChars="34" w:right="82"/>
              <w:jc w:val="right"/>
              <w:rPr>
                <w:rFonts w:cs="Times New Roman"/>
                <w:color w:val="000000" w:themeColor="text1"/>
                <w:sz w:val="21"/>
                <w:szCs w:val="21"/>
              </w:rPr>
            </w:pPr>
            <w:r>
              <w:rPr>
                <w:rFonts w:cs="Times New Roman"/>
                <w:color w:val="000000" w:themeColor="text1"/>
                <w:sz w:val="21"/>
                <w:szCs w:val="21"/>
              </w:rPr>
              <w:t>9,000.00</w:t>
            </w:r>
          </w:p>
        </w:tc>
      </w:tr>
      <w:tr w:rsidR="003C3FCD" w:rsidTr="00EA669B">
        <w:trPr>
          <w:trHeight w:val="411"/>
        </w:trPr>
        <w:tc>
          <w:tcPr>
            <w:tcW w:w="2671" w:type="pct"/>
            <w:gridSpan w:val="2"/>
            <w:tcBorders>
              <w:tl2br w:val="nil"/>
              <w:tr2bl w:val="nil"/>
            </w:tcBorders>
            <w:vAlign w:val="center"/>
          </w:tcPr>
          <w:p w:rsidR="003C3FCD" w:rsidRDefault="00343C0E">
            <w:pPr>
              <w:widowControl/>
              <w:jc w:val="center"/>
              <w:rPr>
                <w:rFonts w:cs="Times New Roman"/>
                <w:b/>
                <w:bCs/>
                <w:color w:val="000000" w:themeColor="text1"/>
                <w:sz w:val="21"/>
                <w:szCs w:val="21"/>
                <w:lang w:eastAsia="en-US"/>
              </w:rPr>
            </w:pPr>
            <w:proofErr w:type="spellStart"/>
            <w:r>
              <w:rPr>
                <w:rFonts w:cs="Times New Roman"/>
                <w:b/>
                <w:bCs/>
                <w:color w:val="000000" w:themeColor="text1"/>
                <w:sz w:val="21"/>
                <w:szCs w:val="21"/>
                <w:lang w:eastAsia="en-US"/>
              </w:rPr>
              <w:t>合计</w:t>
            </w:r>
            <w:proofErr w:type="spellEnd"/>
          </w:p>
        </w:tc>
        <w:tc>
          <w:tcPr>
            <w:tcW w:w="1108" w:type="pct"/>
            <w:tcBorders>
              <w:tl2br w:val="nil"/>
              <w:tr2bl w:val="nil"/>
            </w:tcBorders>
            <w:vAlign w:val="center"/>
          </w:tcPr>
          <w:p w:rsidR="003C3FCD" w:rsidRDefault="00343C0E">
            <w:pPr>
              <w:widowControl/>
              <w:ind w:rightChars="59" w:right="142"/>
              <w:jc w:val="right"/>
              <w:rPr>
                <w:rFonts w:cs="Times New Roman"/>
                <w:b/>
                <w:bCs/>
                <w:color w:val="000000" w:themeColor="text1"/>
                <w:sz w:val="21"/>
                <w:szCs w:val="21"/>
              </w:rPr>
            </w:pPr>
            <w:r>
              <w:rPr>
                <w:rFonts w:cs="Times New Roman"/>
                <w:b/>
                <w:bCs/>
                <w:color w:val="000000" w:themeColor="text1"/>
                <w:sz w:val="21"/>
                <w:szCs w:val="21"/>
              </w:rPr>
              <w:t>46,839.85</w:t>
            </w:r>
          </w:p>
        </w:tc>
        <w:tc>
          <w:tcPr>
            <w:tcW w:w="1220" w:type="pct"/>
            <w:tcBorders>
              <w:tl2br w:val="nil"/>
              <w:tr2bl w:val="nil"/>
            </w:tcBorders>
            <w:vAlign w:val="center"/>
          </w:tcPr>
          <w:p w:rsidR="003C3FCD" w:rsidRDefault="00343C0E">
            <w:pPr>
              <w:widowControl/>
              <w:ind w:rightChars="34" w:right="82"/>
              <w:jc w:val="right"/>
              <w:rPr>
                <w:rFonts w:cs="Times New Roman"/>
                <w:b/>
                <w:bCs/>
                <w:color w:val="000000" w:themeColor="text1"/>
                <w:sz w:val="21"/>
                <w:szCs w:val="21"/>
                <w:lang w:eastAsia="en-US"/>
              </w:rPr>
            </w:pPr>
            <w:r>
              <w:rPr>
                <w:rFonts w:cs="Times New Roman"/>
                <w:b/>
                <w:bCs/>
                <w:color w:val="000000" w:themeColor="text1"/>
                <w:sz w:val="21"/>
                <w:szCs w:val="21"/>
                <w:lang w:eastAsia="en-US"/>
              </w:rPr>
              <w:t>30,000.00</w:t>
            </w:r>
          </w:p>
        </w:tc>
      </w:tr>
    </w:tbl>
    <w:p w:rsidR="003C3FCD" w:rsidRDefault="003C3FCD">
      <w:pPr>
        <w:widowControl/>
        <w:kinsoku w:val="0"/>
        <w:autoSpaceDE w:val="0"/>
        <w:autoSpaceDN w:val="0"/>
        <w:adjustRightInd w:val="0"/>
        <w:snapToGrid w:val="0"/>
        <w:spacing w:line="144" w:lineRule="auto"/>
        <w:jc w:val="left"/>
        <w:textAlignment w:val="baseline"/>
        <w:rPr>
          <w:rFonts w:eastAsia="Arial" w:cs="Times New Roman"/>
          <w:snapToGrid w:val="0"/>
          <w:color w:val="000000" w:themeColor="text1"/>
          <w:kern w:val="0"/>
          <w:sz w:val="2"/>
          <w:szCs w:val="21"/>
          <w:lang w:eastAsia="en-US"/>
        </w:rPr>
      </w:pP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在本次发行股票募集资金到位前，公司将根据经营状况和发展规划对上述拟投资项目用自筹资金进行先期投入，待募集资金到位后将以募集资金置换上述自筹资金。本次发行股票后，若本次发行实际募集资金量小于上述投资项目的资金需求，公司将按照项目的轻重缓急等情况，调整并最终决定募集资金投入的优先顺序及各项目的具体投资金额等使用安排，募集资金不足部分由公司自筹解决。</w:t>
      </w:r>
    </w:p>
    <w:p w:rsidR="003C3FCD" w:rsidRDefault="00343C0E">
      <w:pPr>
        <w:pStyle w:val="2"/>
        <w:spacing w:before="120" w:after="120" w:line="360" w:lineRule="auto"/>
        <w:rPr>
          <w:rFonts w:ascii="Times New Roman" w:eastAsia="黑体" w:hAnsi="Times New Roman" w:cs="Times New Roman"/>
          <w:color w:val="000000" w:themeColor="text1"/>
          <w:sz w:val="28"/>
        </w:rPr>
      </w:pPr>
      <w:bookmarkStart w:id="16" w:name="bookmark17"/>
      <w:bookmarkStart w:id="17" w:name="bookmark16"/>
      <w:bookmarkStart w:id="18" w:name="_Toc146198218"/>
      <w:bookmarkEnd w:id="16"/>
      <w:bookmarkEnd w:id="17"/>
      <w:r>
        <w:rPr>
          <w:rFonts w:ascii="Times New Roman" w:eastAsia="黑体" w:hAnsi="Times New Roman" w:cs="Times New Roman"/>
          <w:color w:val="000000" w:themeColor="text1"/>
          <w:sz w:val="28"/>
        </w:rPr>
        <w:t>二、本次募集资金使用投资项目的具体情况</w:t>
      </w:r>
      <w:bookmarkEnd w:id="18"/>
    </w:p>
    <w:p w:rsidR="003C3FCD" w:rsidRDefault="00343C0E">
      <w:pPr>
        <w:pStyle w:val="3"/>
        <w:spacing w:before="120" w:after="120" w:line="360" w:lineRule="auto"/>
        <w:ind w:firstLineChars="200" w:firstLine="482"/>
        <w:rPr>
          <w:rFonts w:cs="Times New Roman"/>
          <w:color w:val="000000" w:themeColor="text1"/>
          <w:sz w:val="24"/>
        </w:rPr>
      </w:pPr>
      <w:r>
        <w:rPr>
          <w:rFonts w:cs="Times New Roman"/>
          <w:color w:val="000000" w:themeColor="text1"/>
          <w:sz w:val="24"/>
        </w:rPr>
        <w:t>（一）宝坻新城第二水厂工程（一期）项目</w:t>
      </w:r>
    </w:p>
    <w:p w:rsidR="003C3FCD" w:rsidRDefault="00343C0E">
      <w:pPr>
        <w:spacing w:beforeLines="50" w:before="163" w:afterLines="50" w:after="163" w:line="360" w:lineRule="auto"/>
        <w:ind w:firstLineChars="200" w:firstLine="482"/>
        <w:rPr>
          <w:rFonts w:cs="Times New Roman"/>
          <w:b/>
          <w:color w:val="000000" w:themeColor="text1"/>
        </w:rPr>
      </w:pPr>
      <w:r>
        <w:rPr>
          <w:rFonts w:cs="Times New Roman"/>
          <w:b/>
          <w:color w:val="000000" w:themeColor="text1"/>
        </w:rPr>
        <w:t>1</w:t>
      </w:r>
      <w:r>
        <w:rPr>
          <w:rFonts w:cs="Times New Roman"/>
          <w:b/>
          <w:color w:val="000000" w:themeColor="text1"/>
        </w:rPr>
        <w:t>、项目基本情况</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项目名称：宝坻新城第二水厂工程（一期）项目</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项目地点：天津市宝坻区，潮白河以南、津蓟铁路以东、引</w:t>
      </w:r>
      <w:proofErr w:type="gramStart"/>
      <w:r>
        <w:rPr>
          <w:rFonts w:cs="Times New Roman"/>
          <w:color w:val="000000" w:themeColor="text1"/>
        </w:rPr>
        <w:t>滦</w:t>
      </w:r>
      <w:proofErr w:type="gramEnd"/>
      <w:r>
        <w:rPr>
          <w:rFonts w:cs="Times New Roman"/>
          <w:color w:val="000000" w:themeColor="text1"/>
        </w:rPr>
        <w:t>干渠以西</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投资规模：</w:t>
      </w:r>
      <w:r>
        <w:rPr>
          <w:rFonts w:cs="Times New Roman"/>
          <w:color w:val="000000" w:themeColor="text1"/>
        </w:rPr>
        <w:t>37,839.85</w:t>
      </w:r>
      <w:r>
        <w:rPr>
          <w:rFonts w:cs="Times New Roman"/>
          <w:color w:val="000000" w:themeColor="text1"/>
        </w:rPr>
        <w:t>万元</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项目建设内容：新建水厂一期规模为</w:t>
      </w:r>
      <w:r>
        <w:rPr>
          <w:rFonts w:cs="Times New Roman"/>
          <w:color w:val="000000" w:themeColor="text1"/>
        </w:rPr>
        <w:t>10</w:t>
      </w:r>
      <w:r>
        <w:rPr>
          <w:rFonts w:cs="Times New Roman"/>
          <w:color w:val="000000" w:themeColor="text1"/>
        </w:rPr>
        <w:t>万立方米</w:t>
      </w:r>
      <w:r>
        <w:rPr>
          <w:rFonts w:cs="Times New Roman"/>
          <w:color w:val="000000" w:themeColor="text1"/>
        </w:rPr>
        <w:t>/</w:t>
      </w:r>
      <w:r>
        <w:rPr>
          <w:rFonts w:cs="Times New Roman"/>
          <w:color w:val="000000" w:themeColor="text1"/>
        </w:rPr>
        <w:t>日。主要包括原水调蓄池，取水前池，格栅，泵房及前臭氧接触池，净水间，清水池，送水泵房及变配电间，加氯加药间，臭氧</w:t>
      </w:r>
      <w:proofErr w:type="gramStart"/>
      <w:r>
        <w:rPr>
          <w:rFonts w:cs="Times New Roman"/>
          <w:color w:val="000000" w:themeColor="text1"/>
        </w:rPr>
        <w:t>发生间</w:t>
      </w:r>
      <w:proofErr w:type="gramEnd"/>
      <w:r>
        <w:rPr>
          <w:rFonts w:cs="Times New Roman"/>
          <w:color w:val="000000" w:themeColor="text1"/>
        </w:rPr>
        <w:t>及液氧罐，高密度池，污泥处理间，机修间及仓库，车库，综合楼等。</w:t>
      </w:r>
    </w:p>
    <w:p w:rsidR="003C3FCD" w:rsidRDefault="00343C0E">
      <w:pPr>
        <w:spacing w:beforeLines="50" w:before="163" w:afterLines="50" w:after="163" w:line="360" w:lineRule="auto"/>
        <w:ind w:firstLineChars="200" w:firstLine="482"/>
        <w:rPr>
          <w:rFonts w:cs="Times New Roman"/>
          <w:b/>
          <w:color w:val="000000" w:themeColor="text1"/>
        </w:rPr>
      </w:pPr>
      <w:r>
        <w:rPr>
          <w:rFonts w:cs="Times New Roman"/>
          <w:b/>
          <w:color w:val="000000" w:themeColor="text1"/>
        </w:rPr>
        <w:lastRenderedPageBreak/>
        <w:t>2</w:t>
      </w:r>
      <w:r>
        <w:rPr>
          <w:rFonts w:cs="Times New Roman"/>
          <w:b/>
          <w:color w:val="000000" w:themeColor="text1"/>
        </w:rPr>
        <w:t>、项目实施的必要性分析</w:t>
      </w:r>
    </w:p>
    <w:p w:rsidR="003C3FCD" w:rsidRDefault="00343C0E">
      <w:pPr>
        <w:spacing w:beforeLines="50" w:before="163" w:afterLines="50" w:after="163" w:line="360" w:lineRule="auto"/>
        <w:ind w:firstLineChars="200" w:firstLine="480"/>
        <w:rPr>
          <w:rFonts w:cs="Times New Roman"/>
          <w:color w:val="000000" w:themeColor="text1"/>
          <w:szCs w:val="24"/>
        </w:rPr>
      </w:pPr>
      <w:r>
        <w:rPr>
          <w:rFonts w:cs="Times New Roman"/>
          <w:color w:val="000000" w:themeColor="text1"/>
          <w:szCs w:val="24"/>
        </w:rPr>
        <w:t>（</w:t>
      </w:r>
      <w:r>
        <w:rPr>
          <w:rFonts w:cs="Times New Roman"/>
          <w:color w:val="000000" w:themeColor="text1"/>
          <w:szCs w:val="24"/>
        </w:rPr>
        <w:t>1</w:t>
      </w:r>
      <w:r>
        <w:rPr>
          <w:rFonts w:cs="Times New Roman"/>
          <w:color w:val="000000" w:themeColor="text1"/>
          <w:szCs w:val="24"/>
        </w:rPr>
        <w:t>）《天津市水安全保障</w:t>
      </w:r>
      <w:r>
        <w:rPr>
          <w:rFonts w:cs="Times New Roman" w:hint="eastAsia"/>
          <w:color w:val="000000" w:themeColor="text1"/>
          <w:szCs w:val="24"/>
        </w:rPr>
        <w:t>“</w:t>
      </w:r>
      <w:r>
        <w:rPr>
          <w:rFonts w:cs="Times New Roman"/>
          <w:color w:val="000000" w:themeColor="text1"/>
          <w:szCs w:val="24"/>
        </w:rPr>
        <w:t>十四五</w:t>
      </w:r>
      <w:r>
        <w:rPr>
          <w:rFonts w:cs="Times New Roman" w:hint="eastAsia"/>
          <w:color w:val="000000" w:themeColor="text1"/>
          <w:szCs w:val="24"/>
        </w:rPr>
        <w:t>”</w:t>
      </w:r>
      <w:r>
        <w:rPr>
          <w:rFonts w:cs="Times New Roman"/>
          <w:color w:val="000000" w:themeColor="text1"/>
          <w:szCs w:val="24"/>
        </w:rPr>
        <w:t>规划》规划建设项目</w:t>
      </w:r>
    </w:p>
    <w:p w:rsidR="003C3FCD" w:rsidRDefault="00343C0E">
      <w:pPr>
        <w:spacing w:line="360" w:lineRule="auto"/>
        <w:ind w:firstLineChars="200" w:firstLine="480"/>
        <w:rPr>
          <w:rFonts w:cs="Times New Roman"/>
          <w:color w:val="000000" w:themeColor="text1"/>
          <w:szCs w:val="24"/>
        </w:rPr>
      </w:pPr>
      <w:r>
        <w:rPr>
          <w:rFonts w:cs="Times New Roman"/>
          <w:color w:val="000000" w:themeColor="text1"/>
          <w:szCs w:val="24"/>
        </w:rPr>
        <w:t>2021</w:t>
      </w:r>
      <w:r>
        <w:rPr>
          <w:rFonts w:cs="Times New Roman"/>
          <w:color w:val="000000" w:themeColor="text1"/>
          <w:szCs w:val="24"/>
        </w:rPr>
        <w:t>年</w:t>
      </w:r>
      <w:r>
        <w:rPr>
          <w:rFonts w:cs="Times New Roman"/>
          <w:color w:val="000000" w:themeColor="text1"/>
          <w:szCs w:val="24"/>
        </w:rPr>
        <w:t>6</w:t>
      </w:r>
      <w:r>
        <w:rPr>
          <w:rFonts w:cs="Times New Roman"/>
          <w:color w:val="000000" w:themeColor="text1"/>
          <w:szCs w:val="24"/>
        </w:rPr>
        <w:t>月，天津市政府颁布《天津市水安全保障</w:t>
      </w:r>
      <w:r>
        <w:rPr>
          <w:rFonts w:cs="Times New Roman" w:hint="eastAsia"/>
          <w:color w:val="000000" w:themeColor="text1"/>
          <w:szCs w:val="24"/>
        </w:rPr>
        <w:t>“</w:t>
      </w:r>
      <w:r>
        <w:rPr>
          <w:rFonts w:cs="Times New Roman"/>
          <w:color w:val="000000" w:themeColor="text1"/>
          <w:szCs w:val="24"/>
        </w:rPr>
        <w:t>十四五</w:t>
      </w:r>
      <w:r>
        <w:rPr>
          <w:rFonts w:cs="Times New Roman" w:hint="eastAsia"/>
          <w:color w:val="000000" w:themeColor="text1"/>
          <w:szCs w:val="24"/>
        </w:rPr>
        <w:t>”</w:t>
      </w:r>
      <w:r>
        <w:rPr>
          <w:rFonts w:cs="Times New Roman"/>
          <w:color w:val="000000" w:themeColor="text1"/>
          <w:szCs w:val="24"/>
        </w:rPr>
        <w:t>规划》，提出</w:t>
      </w:r>
      <w:r>
        <w:rPr>
          <w:rFonts w:cs="Times New Roman" w:hint="eastAsia"/>
          <w:color w:val="000000" w:themeColor="text1"/>
          <w:szCs w:val="24"/>
        </w:rPr>
        <w:t>“</w:t>
      </w:r>
      <w:r>
        <w:rPr>
          <w:rFonts w:cs="Times New Roman"/>
          <w:color w:val="000000" w:themeColor="text1"/>
          <w:szCs w:val="24"/>
        </w:rPr>
        <w:t>十四五</w:t>
      </w:r>
      <w:r>
        <w:rPr>
          <w:rFonts w:cs="Times New Roman" w:hint="eastAsia"/>
          <w:color w:val="000000" w:themeColor="text1"/>
          <w:szCs w:val="24"/>
        </w:rPr>
        <w:t>”</w:t>
      </w:r>
      <w:r>
        <w:rPr>
          <w:rFonts w:cs="Times New Roman"/>
          <w:color w:val="000000" w:themeColor="text1"/>
          <w:szCs w:val="24"/>
        </w:rPr>
        <w:t>时期，天津市要立足人民群众对水安全保障的新需求，妥善处理水资源供需矛盾，着力防范</w:t>
      </w:r>
      <w:proofErr w:type="gramStart"/>
      <w:r>
        <w:rPr>
          <w:rFonts w:cs="Times New Roman"/>
          <w:color w:val="000000" w:themeColor="text1"/>
          <w:szCs w:val="24"/>
        </w:rPr>
        <w:t>化解水</w:t>
      </w:r>
      <w:proofErr w:type="gramEnd"/>
      <w:r>
        <w:rPr>
          <w:rFonts w:cs="Times New Roman"/>
          <w:color w:val="000000" w:themeColor="text1"/>
          <w:szCs w:val="24"/>
        </w:rPr>
        <w:t>灾害风险，需加快水安全基础设施建设、强化涉水事务监管、提升水治理效能。本次</w:t>
      </w:r>
      <w:proofErr w:type="gramStart"/>
      <w:r>
        <w:rPr>
          <w:rFonts w:cs="Times New Roman"/>
          <w:color w:val="000000" w:themeColor="text1"/>
          <w:szCs w:val="24"/>
        </w:rPr>
        <w:t>募投项目</w:t>
      </w:r>
      <w:proofErr w:type="gramEnd"/>
      <w:r>
        <w:rPr>
          <w:rFonts w:cs="Times New Roman"/>
          <w:color w:val="000000" w:themeColor="text1"/>
          <w:szCs w:val="24"/>
        </w:rPr>
        <w:t>作为《天津市水安全保障</w:t>
      </w:r>
      <w:r>
        <w:rPr>
          <w:rFonts w:cs="Times New Roman" w:hint="eastAsia"/>
          <w:color w:val="000000" w:themeColor="text1"/>
          <w:szCs w:val="24"/>
        </w:rPr>
        <w:t>“</w:t>
      </w:r>
      <w:r>
        <w:rPr>
          <w:rFonts w:cs="Times New Roman"/>
          <w:color w:val="000000" w:themeColor="text1"/>
          <w:szCs w:val="24"/>
        </w:rPr>
        <w:t>十四五</w:t>
      </w:r>
      <w:r>
        <w:rPr>
          <w:rFonts w:cs="Times New Roman" w:hint="eastAsia"/>
          <w:color w:val="000000" w:themeColor="text1"/>
          <w:szCs w:val="24"/>
        </w:rPr>
        <w:t>”</w:t>
      </w:r>
      <w:r>
        <w:rPr>
          <w:rFonts w:cs="Times New Roman"/>
          <w:color w:val="000000" w:themeColor="text1"/>
          <w:szCs w:val="24"/>
        </w:rPr>
        <w:t>规划》规划建设项目，对满足天津市供水保障具有重要意义。</w:t>
      </w:r>
    </w:p>
    <w:p w:rsidR="003C3FCD" w:rsidRDefault="00343C0E">
      <w:pPr>
        <w:spacing w:beforeLines="50" w:before="163" w:afterLines="50" w:after="163" w:line="360" w:lineRule="auto"/>
        <w:ind w:firstLineChars="200" w:firstLine="480"/>
        <w:rPr>
          <w:rFonts w:cs="Times New Roman"/>
          <w:color w:val="000000" w:themeColor="text1"/>
          <w:szCs w:val="24"/>
        </w:rPr>
      </w:pPr>
      <w:r>
        <w:rPr>
          <w:rFonts w:cs="Times New Roman"/>
          <w:color w:val="000000" w:themeColor="text1"/>
          <w:szCs w:val="24"/>
        </w:rPr>
        <w:t>（</w:t>
      </w:r>
      <w:r>
        <w:rPr>
          <w:rFonts w:cs="Times New Roman"/>
          <w:color w:val="000000" w:themeColor="text1"/>
          <w:szCs w:val="24"/>
        </w:rPr>
        <w:t>2</w:t>
      </w:r>
      <w:r>
        <w:rPr>
          <w:rFonts w:cs="Times New Roman"/>
          <w:color w:val="000000" w:themeColor="text1"/>
          <w:szCs w:val="24"/>
        </w:rPr>
        <w:t>）满足城市供水需求，促进地区经济发展</w:t>
      </w:r>
    </w:p>
    <w:p w:rsidR="003C3FCD" w:rsidRDefault="00343C0E">
      <w:pPr>
        <w:spacing w:beforeLines="50" w:before="163" w:afterLines="50" w:after="163" w:line="360" w:lineRule="auto"/>
        <w:ind w:firstLineChars="200" w:firstLine="480"/>
        <w:rPr>
          <w:rFonts w:cs="Times New Roman"/>
          <w:color w:val="000000" w:themeColor="text1"/>
          <w:szCs w:val="24"/>
        </w:rPr>
      </w:pPr>
      <w:r>
        <w:rPr>
          <w:rFonts w:cs="Times New Roman"/>
          <w:color w:val="000000" w:themeColor="text1"/>
          <w:szCs w:val="24"/>
        </w:rPr>
        <w:t>随着城市化进程不断加快，人民生活和工业用水量日益增加，对水质要求也逐步提升。修建供水工程，对于满足日益提高的供水水质水量需求、保障人民身体健康、促进经济发展具有重大意义。</w:t>
      </w:r>
    </w:p>
    <w:p w:rsidR="003C3FCD" w:rsidRDefault="00343C0E">
      <w:pPr>
        <w:spacing w:line="360" w:lineRule="auto"/>
        <w:ind w:firstLineChars="200" w:firstLine="480"/>
        <w:rPr>
          <w:rFonts w:cs="Times New Roman"/>
          <w:snapToGrid w:val="0"/>
          <w:color w:val="000000" w:themeColor="text1"/>
          <w:kern w:val="0"/>
          <w:position w:val="17"/>
          <w:szCs w:val="24"/>
        </w:rPr>
      </w:pPr>
      <w:r>
        <w:rPr>
          <w:rFonts w:cs="Times New Roman"/>
          <w:color w:val="000000" w:themeColor="text1"/>
          <w:szCs w:val="24"/>
        </w:rPr>
        <w:t>随着国家</w:t>
      </w:r>
      <w:r>
        <w:rPr>
          <w:rFonts w:cs="Times New Roman" w:hint="eastAsia"/>
          <w:color w:val="000000" w:themeColor="text1"/>
          <w:szCs w:val="24"/>
        </w:rPr>
        <w:t>“</w:t>
      </w:r>
      <w:r>
        <w:rPr>
          <w:rFonts w:cs="Times New Roman"/>
          <w:color w:val="000000" w:themeColor="text1"/>
          <w:szCs w:val="24"/>
        </w:rPr>
        <w:t>十三五</w:t>
      </w:r>
      <w:r>
        <w:rPr>
          <w:rFonts w:cs="Times New Roman" w:hint="eastAsia"/>
          <w:color w:val="000000" w:themeColor="text1"/>
          <w:szCs w:val="24"/>
        </w:rPr>
        <w:t>”</w:t>
      </w:r>
      <w:r>
        <w:rPr>
          <w:rFonts w:cs="Times New Roman"/>
          <w:color w:val="000000" w:themeColor="text1"/>
          <w:szCs w:val="24"/>
        </w:rPr>
        <w:t>规划的实施，天津市宝坻区宝坻新城得到了快速发展的机会。区域内引进和规划了包括中关村科技城、环保工业园、物流产业园以及配合高铁建设的新区等重大项目，区域的用水量扩大，宝坻的现状供水不足以支持如此大规模的开发建设。本次</w:t>
      </w:r>
      <w:proofErr w:type="gramStart"/>
      <w:r>
        <w:rPr>
          <w:rFonts w:cs="Times New Roman"/>
          <w:color w:val="000000" w:themeColor="text1"/>
          <w:szCs w:val="24"/>
        </w:rPr>
        <w:t>募投项目</w:t>
      </w:r>
      <w:proofErr w:type="gramEnd"/>
      <w:r>
        <w:rPr>
          <w:rFonts w:cs="Times New Roman"/>
          <w:color w:val="000000" w:themeColor="text1"/>
          <w:szCs w:val="24"/>
        </w:rPr>
        <w:t>的建设将进一步完善宝坻区供水管网系统，扩大供水范围，满足居民生活、工业生产和市政建设等各项用水需求，促进区域的经济发展。</w:t>
      </w:r>
    </w:p>
    <w:p w:rsidR="003C3FCD" w:rsidRDefault="00343C0E">
      <w:pPr>
        <w:spacing w:line="360" w:lineRule="auto"/>
        <w:ind w:firstLineChars="200" w:firstLine="480"/>
        <w:rPr>
          <w:rFonts w:cs="Times New Roman"/>
          <w:color w:val="000000" w:themeColor="text1"/>
          <w:szCs w:val="24"/>
        </w:rPr>
      </w:pPr>
      <w:r>
        <w:rPr>
          <w:rFonts w:cs="Times New Roman"/>
          <w:color w:val="000000" w:themeColor="text1"/>
          <w:szCs w:val="24"/>
        </w:rPr>
        <w:t>（</w:t>
      </w:r>
      <w:r>
        <w:rPr>
          <w:rFonts w:cs="Times New Roman"/>
          <w:color w:val="000000" w:themeColor="text1"/>
          <w:szCs w:val="24"/>
        </w:rPr>
        <w:t>3</w:t>
      </w:r>
      <w:r>
        <w:rPr>
          <w:rFonts w:cs="Times New Roman"/>
          <w:color w:val="000000" w:themeColor="text1"/>
          <w:szCs w:val="24"/>
        </w:rPr>
        <w:t>）巩固发展供水业务，拓宽业绩增长点</w:t>
      </w:r>
    </w:p>
    <w:p w:rsidR="003C3FCD" w:rsidRDefault="00343C0E">
      <w:pPr>
        <w:spacing w:beforeLines="50" w:before="163" w:afterLines="50" w:after="163" w:line="360" w:lineRule="auto"/>
        <w:ind w:firstLineChars="200" w:firstLine="480"/>
        <w:rPr>
          <w:rFonts w:cs="Times New Roman"/>
          <w:color w:val="000000" w:themeColor="text1"/>
          <w:szCs w:val="24"/>
        </w:rPr>
      </w:pPr>
      <w:r>
        <w:rPr>
          <w:rFonts w:cs="Times New Roman"/>
          <w:color w:val="000000" w:themeColor="text1"/>
          <w:szCs w:val="24"/>
        </w:rPr>
        <w:t>本次</w:t>
      </w:r>
      <w:proofErr w:type="gramStart"/>
      <w:r>
        <w:rPr>
          <w:rFonts w:cs="Times New Roman"/>
          <w:color w:val="000000" w:themeColor="text1"/>
          <w:szCs w:val="24"/>
        </w:rPr>
        <w:t>募投项目</w:t>
      </w:r>
      <w:proofErr w:type="gramEnd"/>
      <w:r>
        <w:rPr>
          <w:rFonts w:cs="Times New Roman"/>
          <w:color w:val="000000" w:themeColor="text1"/>
          <w:szCs w:val="24"/>
        </w:rPr>
        <w:t>是公司在供水业务领域获得的特许经营项目，有助于公司供水业务扩大市场占有率，增加公司收入和盈利。项目将对公司增加影响力以及提升整体规模有着重要的意义，符合公司的发展战略。项目的顺利运营，将使公司能够充分发挥自身的管理及技术人员资源优势，为公司进一步开拓项目创造便利条件。</w:t>
      </w:r>
    </w:p>
    <w:p w:rsidR="003C3FCD" w:rsidRDefault="00343C0E">
      <w:pPr>
        <w:spacing w:beforeLines="50" w:before="163" w:afterLines="50" w:after="163" w:line="360" w:lineRule="auto"/>
        <w:ind w:firstLineChars="200" w:firstLine="482"/>
        <w:rPr>
          <w:rFonts w:cs="Times New Roman"/>
          <w:b/>
          <w:color w:val="000000" w:themeColor="text1"/>
        </w:rPr>
      </w:pPr>
      <w:r>
        <w:rPr>
          <w:rFonts w:cs="Times New Roman"/>
          <w:b/>
          <w:color w:val="000000" w:themeColor="text1"/>
        </w:rPr>
        <w:t>3</w:t>
      </w:r>
      <w:r>
        <w:rPr>
          <w:rFonts w:cs="Times New Roman"/>
          <w:b/>
          <w:color w:val="000000" w:themeColor="text1"/>
        </w:rPr>
        <w:t>、项目实施的可行性分析</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w:t>
      </w:r>
      <w:r>
        <w:rPr>
          <w:rFonts w:cs="Times New Roman"/>
          <w:color w:val="000000" w:themeColor="text1"/>
        </w:rPr>
        <w:t>1</w:t>
      </w:r>
      <w:r>
        <w:rPr>
          <w:rFonts w:cs="Times New Roman"/>
          <w:color w:val="000000" w:themeColor="text1"/>
        </w:rPr>
        <w:t>）符合国家产业政策引导</w:t>
      </w:r>
    </w:p>
    <w:p w:rsidR="003C3FCD" w:rsidRDefault="00343C0E">
      <w:pPr>
        <w:spacing w:beforeLines="50" w:before="163" w:afterLines="50" w:after="163" w:line="360" w:lineRule="auto"/>
        <w:ind w:firstLineChars="200" w:firstLine="480"/>
        <w:rPr>
          <w:rFonts w:cs="Times New Roman"/>
          <w:color w:val="000000" w:themeColor="text1"/>
          <w:szCs w:val="24"/>
        </w:rPr>
      </w:pPr>
      <w:r>
        <w:rPr>
          <w:rFonts w:cs="Times New Roman"/>
          <w:color w:val="000000" w:themeColor="text1"/>
          <w:szCs w:val="24"/>
        </w:rPr>
        <w:lastRenderedPageBreak/>
        <w:t>近年来随着中国经济社会的快速发展，供水的需求在未来一段时间仍不断加大，为确保行业可持续发展，国家及地方政府围绕行业发展目标、行业监管、融资方式、税收优惠和技术革新等方面陆续出台相关政策。其中，《中华人民共和国国民经济和社会发展第十四个五年规划和</w:t>
      </w:r>
      <w:r>
        <w:rPr>
          <w:rFonts w:cs="Times New Roman"/>
          <w:color w:val="000000" w:themeColor="text1"/>
          <w:szCs w:val="24"/>
        </w:rPr>
        <w:t>2035</w:t>
      </w:r>
      <w:r>
        <w:rPr>
          <w:rFonts w:cs="Times New Roman"/>
          <w:color w:val="000000" w:themeColor="text1"/>
          <w:szCs w:val="24"/>
        </w:rPr>
        <w:t>年远景目标纲要》提出</w:t>
      </w:r>
      <w:r>
        <w:rPr>
          <w:rFonts w:cs="Times New Roman" w:hint="eastAsia"/>
          <w:color w:val="000000" w:themeColor="text1"/>
          <w:szCs w:val="24"/>
        </w:rPr>
        <w:t>“</w:t>
      </w:r>
      <w:r>
        <w:rPr>
          <w:rFonts w:cs="Times New Roman"/>
          <w:color w:val="000000" w:themeColor="text1"/>
          <w:szCs w:val="24"/>
        </w:rPr>
        <w:t>持续改善环境质量</w:t>
      </w:r>
      <w:r>
        <w:rPr>
          <w:rFonts w:cs="Times New Roman" w:hint="eastAsia"/>
          <w:color w:val="000000" w:themeColor="text1"/>
          <w:szCs w:val="24"/>
        </w:rPr>
        <w:t>”“</w:t>
      </w:r>
      <w:r>
        <w:rPr>
          <w:rFonts w:cs="Times New Roman"/>
          <w:color w:val="000000" w:themeColor="text1"/>
          <w:szCs w:val="24"/>
        </w:rPr>
        <w:t>加强水利基础设施建设</w:t>
      </w:r>
      <w:r>
        <w:rPr>
          <w:rFonts w:cs="Times New Roman" w:hint="eastAsia"/>
          <w:color w:val="000000" w:themeColor="text1"/>
          <w:szCs w:val="24"/>
        </w:rPr>
        <w:t>”</w:t>
      </w:r>
      <w:r>
        <w:rPr>
          <w:rFonts w:cs="Times New Roman"/>
          <w:color w:val="000000" w:themeColor="text1"/>
          <w:szCs w:val="24"/>
        </w:rPr>
        <w:t>等，对水</w:t>
      </w:r>
      <w:proofErr w:type="gramStart"/>
      <w:r>
        <w:rPr>
          <w:rFonts w:cs="Times New Roman"/>
          <w:color w:val="000000" w:themeColor="text1"/>
          <w:szCs w:val="24"/>
        </w:rPr>
        <w:t>务</w:t>
      </w:r>
      <w:proofErr w:type="gramEnd"/>
      <w:r>
        <w:rPr>
          <w:rFonts w:cs="Times New Roman"/>
          <w:color w:val="000000" w:themeColor="text1"/>
          <w:szCs w:val="24"/>
        </w:rPr>
        <w:t>行业的发展方向进行了明确要求和规定。</w:t>
      </w:r>
    </w:p>
    <w:p w:rsidR="003C3FCD" w:rsidRDefault="00343C0E">
      <w:pPr>
        <w:spacing w:beforeLines="50" w:before="163" w:afterLines="50" w:after="163" w:line="360" w:lineRule="auto"/>
        <w:ind w:firstLineChars="200" w:firstLine="480"/>
        <w:rPr>
          <w:rFonts w:cs="Times New Roman"/>
          <w:color w:val="000000" w:themeColor="text1"/>
          <w:szCs w:val="24"/>
        </w:rPr>
      </w:pPr>
      <w:r>
        <w:rPr>
          <w:rFonts w:cs="Times New Roman"/>
          <w:color w:val="000000" w:themeColor="text1"/>
          <w:szCs w:val="24"/>
        </w:rPr>
        <w:t>天津市人民政府批复了《天津市供水规划</w:t>
      </w:r>
      <w:r>
        <w:rPr>
          <w:rFonts w:cs="Times New Roman" w:hint="eastAsia"/>
          <w:color w:val="000000" w:themeColor="text1"/>
          <w:szCs w:val="24"/>
        </w:rPr>
        <w:t>（</w:t>
      </w:r>
      <w:r>
        <w:rPr>
          <w:rFonts w:cs="Times New Roman"/>
          <w:color w:val="000000" w:themeColor="text1"/>
          <w:szCs w:val="24"/>
        </w:rPr>
        <w:t>2020-2035</w:t>
      </w:r>
      <w:r>
        <w:rPr>
          <w:rFonts w:cs="Times New Roman"/>
          <w:color w:val="000000" w:themeColor="text1"/>
          <w:szCs w:val="24"/>
        </w:rPr>
        <w:t>年</w:t>
      </w:r>
      <w:r>
        <w:rPr>
          <w:rFonts w:cs="Times New Roman" w:hint="eastAsia"/>
          <w:color w:val="000000" w:themeColor="text1"/>
          <w:szCs w:val="24"/>
        </w:rPr>
        <w:t>）</w:t>
      </w:r>
      <w:r>
        <w:rPr>
          <w:rFonts w:cs="Times New Roman"/>
          <w:color w:val="000000" w:themeColor="text1"/>
          <w:szCs w:val="24"/>
        </w:rPr>
        <w:t>》，旨在有效解决天津市供水新老问题，加快构建天津市供水安全保障体系，全面统筹城乡供水，不断满足广大人民群众对高品质生活饮用水的需求，保障城镇高质量发展的生产用水需求，本次</w:t>
      </w:r>
      <w:proofErr w:type="gramStart"/>
      <w:r>
        <w:rPr>
          <w:rFonts w:cs="Times New Roman"/>
          <w:color w:val="000000" w:themeColor="text1"/>
          <w:szCs w:val="24"/>
        </w:rPr>
        <w:t>募投项目</w:t>
      </w:r>
      <w:proofErr w:type="gramEnd"/>
      <w:r>
        <w:rPr>
          <w:rFonts w:cs="Times New Roman"/>
          <w:color w:val="000000" w:themeColor="text1"/>
          <w:szCs w:val="24"/>
        </w:rPr>
        <w:t>被列入</w:t>
      </w:r>
      <w:r>
        <w:rPr>
          <w:rFonts w:cs="Times New Roman" w:hint="eastAsia"/>
          <w:color w:val="000000" w:themeColor="text1"/>
          <w:szCs w:val="24"/>
        </w:rPr>
        <w:t>《</w:t>
      </w:r>
      <w:r>
        <w:rPr>
          <w:rFonts w:cs="Times New Roman"/>
          <w:color w:val="000000" w:themeColor="text1"/>
          <w:szCs w:val="24"/>
        </w:rPr>
        <w:t>天津市供水规划</w:t>
      </w:r>
      <w:r>
        <w:rPr>
          <w:rFonts w:cs="Times New Roman" w:hint="eastAsia"/>
          <w:color w:val="000000" w:themeColor="text1"/>
          <w:szCs w:val="24"/>
        </w:rPr>
        <w:t>（</w:t>
      </w:r>
      <w:r>
        <w:rPr>
          <w:rFonts w:cs="Times New Roman"/>
          <w:color w:val="000000" w:themeColor="text1"/>
          <w:szCs w:val="24"/>
        </w:rPr>
        <w:t>2020-2035</w:t>
      </w:r>
      <w:r>
        <w:rPr>
          <w:rFonts w:cs="Times New Roman"/>
          <w:color w:val="000000" w:themeColor="text1"/>
          <w:szCs w:val="24"/>
        </w:rPr>
        <w:t>年</w:t>
      </w:r>
      <w:r>
        <w:rPr>
          <w:rFonts w:cs="Times New Roman" w:hint="eastAsia"/>
          <w:color w:val="000000" w:themeColor="text1"/>
          <w:szCs w:val="24"/>
        </w:rPr>
        <w:t>）》</w:t>
      </w:r>
      <w:r>
        <w:rPr>
          <w:rFonts w:cs="Times New Roman"/>
          <w:color w:val="000000" w:themeColor="text1"/>
          <w:szCs w:val="24"/>
        </w:rPr>
        <w:t>。各项政策出台为城镇供水行业带来了新的发展机遇，为本次</w:t>
      </w:r>
      <w:proofErr w:type="gramStart"/>
      <w:r>
        <w:rPr>
          <w:rFonts w:cs="Times New Roman"/>
          <w:color w:val="000000" w:themeColor="text1"/>
          <w:szCs w:val="24"/>
        </w:rPr>
        <w:t>募投项目</w:t>
      </w:r>
      <w:proofErr w:type="gramEnd"/>
      <w:r>
        <w:rPr>
          <w:rFonts w:cs="Times New Roman"/>
          <w:color w:val="000000" w:themeColor="text1"/>
          <w:szCs w:val="24"/>
        </w:rPr>
        <w:t>的实施提供了政策支持。</w:t>
      </w:r>
    </w:p>
    <w:p w:rsidR="003C3FCD" w:rsidRDefault="00343C0E">
      <w:pPr>
        <w:spacing w:line="360" w:lineRule="auto"/>
        <w:ind w:firstLineChars="200" w:firstLine="480"/>
        <w:rPr>
          <w:rFonts w:cs="Times New Roman"/>
        </w:rPr>
      </w:pPr>
      <w:r>
        <w:rPr>
          <w:rFonts w:cs="Times New Roman"/>
          <w:color w:val="000000" w:themeColor="text1"/>
          <w:szCs w:val="24"/>
        </w:rPr>
        <w:t>（</w:t>
      </w:r>
      <w:r>
        <w:rPr>
          <w:rFonts w:cs="Times New Roman"/>
          <w:color w:val="000000" w:themeColor="text1"/>
          <w:szCs w:val="24"/>
        </w:rPr>
        <w:t>2</w:t>
      </w:r>
      <w:r>
        <w:rPr>
          <w:rFonts w:cs="Times New Roman"/>
          <w:color w:val="000000" w:themeColor="text1"/>
          <w:szCs w:val="24"/>
        </w:rPr>
        <w:t>）公司具备专业</w:t>
      </w:r>
      <w:r>
        <w:rPr>
          <w:rFonts w:cs="Times New Roman"/>
        </w:rPr>
        <w:t>人员和技术储备</w:t>
      </w:r>
    </w:p>
    <w:p w:rsidR="003C3FCD" w:rsidRDefault="00343C0E">
      <w:pPr>
        <w:spacing w:line="360" w:lineRule="auto"/>
        <w:ind w:firstLineChars="200" w:firstLine="480"/>
        <w:rPr>
          <w:rFonts w:cs="Times New Roman"/>
        </w:rPr>
      </w:pPr>
      <w:r>
        <w:rPr>
          <w:rFonts w:cs="Times New Roman"/>
        </w:rPr>
        <w:t>近年来，公司</w:t>
      </w:r>
      <w:r w:rsidR="00EA669B">
        <w:rPr>
          <w:rFonts w:cs="Times New Roman"/>
        </w:rPr>
        <w:t>始终</w:t>
      </w:r>
      <w:r>
        <w:rPr>
          <w:rFonts w:cs="Times New Roman"/>
        </w:rPr>
        <w:t>注重人才队伍的培养，拥有一支稳定专业的管理和研发团队，积累了大量的实践经验与管理、研发能力。高素质的人才队伍为公司的发展提供了有力保障。</w:t>
      </w:r>
      <w:r>
        <w:rPr>
          <w:rFonts w:cs="Times New Roman" w:hint="eastAsia"/>
        </w:rPr>
        <w:t>同时，</w:t>
      </w:r>
      <w:r>
        <w:rPr>
          <w:rFonts w:cs="Times New Roman"/>
        </w:rPr>
        <w:t>公司</w:t>
      </w:r>
      <w:r>
        <w:rPr>
          <w:rFonts w:cs="Times New Roman" w:hint="eastAsia"/>
        </w:rPr>
        <w:t>重视技术的研发和储备，</w:t>
      </w:r>
      <w:r>
        <w:rPr>
          <w:rFonts w:cs="Times New Roman"/>
        </w:rPr>
        <w:t>截至</w:t>
      </w:r>
      <w:r>
        <w:rPr>
          <w:rFonts w:cs="Times New Roman"/>
        </w:rPr>
        <w:t>2023</w:t>
      </w:r>
      <w:r>
        <w:rPr>
          <w:rFonts w:cs="Times New Roman"/>
        </w:rPr>
        <w:t>年</w:t>
      </w:r>
      <w:r>
        <w:rPr>
          <w:rFonts w:cs="Times New Roman"/>
        </w:rPr>
        <w:t>9</w:t>
      </w:r>
      <w:r>
        <w:rPr>
          <w:rFonts w:cs="Times New Roman"/>
        </w:rPr>
        <w:t>月</w:t>
      </w:r>
      <w:r>
        <w:rPr>
          <w:rFonts w:cs="Times New Roman"/>
        </w:rPr>
        <w:t>30</w:t>
      </w:r>
      <w:r>
        <w:rPr>
          <w:rFonts w:cs="Times New Roman"/>
        </w:rPr>
        <w:t>日，公司已取得授权专利</w:t>
      </w:r>
      <w:r>
        <w:rPr>
          <w:rFonts w:cs="Times New Roman"/>
        </w:rPr>
        <w:t>97</w:t>
      </w:r>
      <w:r>
        <w:rPr>
          <w:rFonts w:cs="Times New Roman"/>
        </w:rPr>
        <w:t>项</w:t>
      </w:r>
      <w:r>
        <w:rPr>
          <w:rFonts w:cs="Times New Roman" w:hint="eastAsia"/>
        </w:rPr>
        <w:t>。</w:t>
      </w:r>
      <w:r>
        <w:rPr>
          <w:rFonts w:cs="Times New Roman"/>
        </w:rPr>
        <w:t>研发实力和技术储备为项目开展提供了技术支持。</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w:t>
      </w:r>
      <w:r>
        <w:rPr>
          <w:rFonts w:cs="Times New Roman"/>
          <w:color w:val="000000" w:themeColor="text1"/>
        </w:rPr>
        <w:t>3</w:t>
      </w:r>
      <w:r>
        <w:rPr>
          <w:rFonts w:cs="Times New Roman"/>
          <w:color w:val="000000" w:themeColor="text1"/>
        </w:rPr>
        <w:t>）公司具有丰富的供水运营管理经验</w:t>
      </w:r>
    </w:p>
    <w:p w:rsidR="003C3FCD" w:rsidRDefault="00343C0E">
      <w:pPr>
        <w:spacing w:line="360" w:lineRule="auto"/>
        <w:ind w:firstLineChars="200" w:firstLine="480"/>
        <w:rPr>
          <w:rFonts w:cs="Times New Roman"/>
        </w:rPr>
      </w:pPr>
      <w:r>
        <w:rPr>
          <w:rFonts w:cs="Times New Roman"/>
          <w:color w:val="000000" w:themeColor="text1"/>
          <w:szCs w:val="24"/>
        </w:rPr>
        <w:t>公司是滨海新区引</w:t>
      </w:r>
      <w:proofErr w:type="gramStart"/>
      <w:r>
        <w:rPr>
          <w:rFonts w:cs="Times New Roman"/>
          <w:color w:val="000000" w:themeColor="text1"/>
          <w:szCs w:val="24"/>
        </w:rPr>
        <w:t>滦</w:t>
      </w:r>
      <w:proofErr w:type="gramEnd"/>
      <w:r>
        <w:rPr>
          <w:rFonts w:cs="Times New Roman"/>
          <w:color w:val="000000" w:themeColor="text1"/>
          <w:szCs w:val="24"/>
        </w:rPr>
        <w:t>原水的主要供应商和部分区域的自来水供应商，具备稳定的市场份额和</w:t>
      </w:r>
      <w:r>
        <w:rPr>
          <w:rFonts w:cs="Times New Roman" w:hint="eastAsia"/>
          <w:color w:val="000000" w:themeColor="text1"/>
          <w:szCs w:val="24"/>
        </w:rPr>
        <w:t>良好的</w:t>
      </w:r>
      <w:r>
        <w:rPr>
          <w:rFonts w:cs="Times New Roman"/>
          <w:color w:val="000000" w:themeColor="text1"/>
          <w:szCs w:val="24"/>
        </w:rPr>
        <w:t>服务品牌。</w:t>
      </w:r>
      <w:r>
        <w:rPr>
          <w:rFonts w:cs="Times New Roman" w:hint="eastAsia"/>
          <w:color w:val="000000" w:themeColor="text1"/>
          <w:szCs w:val="24"/>
        </w:rPr>
        <w:t>公司多年运营多家水</w:t>
      </w:r>
      <w:proofErr w:type="gramStart"/>
      <w:r>
        <w:rPr>
          <w:rFonts w:cs="Times New Roman" w:hint="eastAsia"/>
          <w:color w:val="000000" w:themeColor="text1"/>
          <w:szCs w:val="24"/>
        </w:rPr>
        <w:t>务</w:t>
      </w:r>
      <w:proofErr w:type="gramEnd"/>
      <w:r>
        <w:rPr>
          <w:rFonts w:cs="Times New Roman" w:hint="eastAsia"/>
          <w:color w:val="000000" w:themeColor="text1"/>
          <w:szCs w:val="24"/>
        </w:rPr>
        <w:t>公司，积累了丰富的运营管理经验，</w:t>
      </w:r>
      <w:r>
        <w:rPr>
          <w:rFonts w:cs="Times New Roman"/>
        </w:rPr>
        <w:t>为扩展供水</w:t>
      </w:r>
      <w:r>
        <w:rPr>
          <w:rFonts w:cs="Times New Roman" w:hint="eastAsia"/>
        </w:rPr>
        <w:t>市</w:t>
      </w:r>
      <w:r>
        <w:rPr>
          <w:rFonts w:cs="Times New Roman"/>
        </w:rPr>
        <w:t>场提供</w:t>
      </w:r>
      <w:r>
        <w:rPr>
          <w:rFonts w:cs="Times New Roman" w:hint="eastAsia"/>
        </w:rPr>
        <w:t>了</w:t>
      </w:r>
      <w:r>
        <w:rPr>
          <w:rFonts w:cs="Times New Roman"/>
        </w:rPr>
        <w:t>必要条件。</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szCs w:val="24"/>
        </w:rPr>
        <w:t>经过多年的经营积累和实践创新，公司已经形成一定特色的经营理念和模式，拥有高素质的长期从事供水业务管理的运营团队，以及较强的技术研发实力，为本项目的实施奠定了坚实的基础。</w:t>
      </w:r>
    </w:p>
    <w:p w:rsidR="003C3FCD" w:rsidRDefault="00343C0E">
      <w:pPr>
        <w:spacing w:beforeLines="50" w:before="163" w:afterLines="50" w:after="163" w:line="360" w:lineRule="auto"/>
        <w:ind w:firstLineChars="200" w:firstLine="482"/>
        <w:rPr>
          <w:rFonts w:cs="Times New Roman"/>
          <w:b/>
          <w:color w:val="000000" w:themeColor="text1"/>
        </w:rPr>
      </w:pPr>
      <w:r>
        <w:rPr>
          <w:rFonts w:cs="Times New Roman"/>
          <w:b/>
          <w:color w:val="000000" w:themeColor="text1"/>
        </w:rPr>
        <w:t>4</w:t>
      </w:r>
      <w:r>
        <w:rPr>
          <w:rFonts w:cs="Times New Roman"/>
          <w:b/>
          <w:color w:val="000000" w:themeColor="text1"/>
        </w:rPr>
        <w:t>、项目实施主体</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项目实施主体为本公司控股子公司天津市泉达水务有限公司。</w:t>
      </w:r>
    </w:p>
    <w:p w:rsidR="003C3FCD" w:rsidRDefault="00343C0E">
      <w:pPr>
        <w:spacing w:beforeLines="50" w:before="163" w:afterLines="50" w:after="163" w:line="360" w:lineRule="auto"/>
        <w:ind w:firstLineChars="200" w:firstLine="482"/>
        <w:rPr>
          <w:rFonts w:cs="Times New Roman"/>
          <w:b/>
          <w:color w:val="000000" w:themeColor="text1"/>
        </w:rPr>
      </w:pPr>
      <w:r>
        <w:rPr>
          <w:rFonts w:cs="Times New Roman"/>
          <w:b/>
          <w:color w:val="000000" w:themeColor="text1"/>
        </w:rPr>
        <w:lastRenderedPageBreak/>
        <w:t>5</w:t>
      </w:r>
      <w:r>
        <w:rPr>
          <w:rFonts w:cs="Times New Roman"/>
          <w:b/>
          <w:color w:val="000000" w:themeColor="text1"/>
        </w:rPr>
        <w:t>、项目投资概算</w:t>
      </w:r>
    </w:p>
    <w:p w:rsidR="003C3FCD" w:rsidRDefault="00343C0E">
      <w:pPr>
        <w:spacing w:beforeLines="50" w:before="163" w:afterLines="50" w:after="163" w:line="360" w:lineRule="auto"/>
        <w:ind w:firstLineChars="200" w:firstLine="480"/>
        <w:rPr>
          <w:rFonts w:cs="Times New Roman"/>
          <w:color w:val="000000" w:themeColor="text1"/>
          <w:szCs w:val="24"/>
        </w:rPr>
      </w:pPr>
      <w:r>
        <w:rPr>
          <w:rFonts w:cs="Times New Roman" w:hint="eastAsia"/>
          <w:color w:val="000000" w:themeColor="text1"/>
          <w:szCs w:val="24"/>
        </w:rPr>
        <w:t>项目</w:t>
      </w:r>
      <w:r>
        <w:rPr>
          <w:rFonts w:cs="Times New Roman"/>
          <w:color w:val="000000" w:themeColor="text1"/>
          <w:szCs w:val="24"/>
        </w:rPr>
        <w:t>拟投资</w:t>
      </w:r>
      <w:r>
        <w:rPr>
          <w:rFonts w:cs="Times New Roman" w:hint="eastAsia"/>
          <w:color w:val="000000" w:themeColor="text1"/>
          <w:szCs w:val="24"/>
        </w:rPr>
        <w:t>规模</w:t>
      </w:r>
      <w:r>
        <w:rPr>
          <w:rFonts w:cs="Times New Roman"/>
          <w:color w:val="000000" w:themeColor="text1"/>
          <w:szCs w:val="24"/>
        </w:rPr>
        <w:t>为</w:t>
      </w:r>
      <w:r>
        <w:rPr>
          <w:rFonts w:cs="Times New Roman"/>
          <w:color w:val="000000" w:themeColor="text1"/>
          <w:szCs w:val="24"/>
        </w:rPr>
        <w:t>37,839.85</w:t>
      </w:r>
      <w:r>
        <w:rPr>
          <w:rFonts w:cs="Times New Roman"/>
          <w:color w:val="000000" w:themeColor="text1"/>
          <w:szCs w:val="24"/>
        </w:rPr>
        <w:t>万元，主要为建设投资费用，包括建筑工程费、设备购置费、设备安装费、工程建设其他费用、预备费等。本次发行募集资金拟投入</w:t>
      </w:r>
      <w:r>
        <w:rPr>
          <w:rFonts w:cs="Times New Roman"/>
          <w:color w:val="000000" w:themeColor="text1"/>
          <w:szCs w:val="24"/>
        </w:rPr>
        <w:t>21,000.00</w:t>
      </w:r>
      <w:r>
        <w:rPr>
          <w:rFonts w:cs="Times New Roman"/>
          <w:color w:val="000000" w:themeColor="text1"/>
          <w:szCs w:val="24"/>
        </w:rPr>
        <w:t>万元。</w:t>
      </w:r>
    </w:p>
    <w:p w:rsidR="003C3FCD" w:rsidRDefault="00343C0E">
      <w:pPr>
        <w:spacing w:beforeLines="50" w:before="163" w:afterLines="50" w:after="163" w:line="360" w:lineRule="auto"/>
        <w:ind w:firstLineChars="200" w:firstLine="482"/>
        <w:rPr>
          <w:rFonts w:cs="Times New Roman"/>
          <w:b/>
          <w:color w:val="000000" w:themeColor="text1"/>
        </w:rPr>
      </w:pPr>
      <w:r>
        <w:rPr>
          <w:rFonts w:cs="Times New Roman"/>
          <w:b/>
          <w:color w:val="000000" w:themeColor="text1"/>
        </w:rPr>
        <w:t>6</w:t>
      </w:r>
      <w:r>
        <w:rPr>
          <w:rFonts w:cs="Times New Roman"/>
          <w:b/>
          <w:color w:val="000000" w:themeColor="text1"/>
        </w:rPr>
        <w:t>、建设期</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项目建设期为二年。</w:t>
      </w:r>
    </w:p>
    <w:p w:rsidR="003C3FCD" w:rsidRDefault="00343C0E">
      <w:pPr>
        <w:spacing w:beforeLines="50" w:before="163" w:afterLines="50" w:after="163" w:line="360" w:lineRule="auto"/>
        <w:ind w:firstLineChars="200" w:firstLine="482"/>
        <w:rPr>
          <w:rFonts w:cs="Times New Roman"/>
          <w:b/>
          <w:color w:val="000000" w:themeColor="text1"/>
        </w:rPr>
      </w:pPr>
      <w:r>
        <w:rPr>
          <w:rFonts w:cs="Times New Roman"/>
          <w:b/>
          <w:color w:val="000000" w:themeColor="text1"/>
        </w:rPr>
        <w:t>7</w:t>
      </w:r>
      <w:r>
        <w:rPr>
          <w:rFonts w:cs="Times New Roman"/>
          <w:b/>
          <w:color w:val="000000" w:themeColor="text1"/>
        </w:rPr>
        <w:t>、项目效益分析</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经过可行性论证及项目收益测算，本项目具有良好的经济效益。</w:t>
      </w:r>
    </w:p>
    <w:p w:rsidR="003C3FCD" w:rsidRDefault="00343C0E">
      <w:pPr>
        <w:spacing w:beforeLines="50" w:before="163" w:afterLines="50" w:after="163" w:line="360" w:lineRule="auto"/>
        <w:ind w:firstLineChars="200" w:firstLine="482"/>
        <w:rPr>
          <w:rFonts w:cs="Times New Roman"/>
          <w:b/>
          <w:color w:val="000000" w:themeColor="text1"/>
        </w:rPr>
      </w:pPr>
      <w:r>
        <w:rPr>
          <w:rFonts w:cs="Times New Roman"/>
          <w:b/>
          <w:color w:val="000000" w:themeColor="text1"/>
        </w:rPr>
        <w:t>8</w:t>
      </w:r>
      <w:r>
        <w:rPr>
          <w:rFonts w:cs="Times New Roman"/>
          <w:b/>
          <w:color w:val="000000" w:themeColor="text1"/>
        </w:rPr>
        <w:t>、项目审批情况</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截至本预案披露日，本项目用地已取得编号为津</w:t>
      </w:r>
      <w:r>
        <w:rPr>
          <w:rFonts w:cs="Times New Roman"/>
          <w:color w:val="000000" w:themeColor="text1"/>
        </w:rPr>
        <w:t>2022</w:t>
      </w:r>
      <w:r>
        <w:rPr>
          <w:rFonts w:cs="Times New Roman"/>
          <w:color w:val="000000" w:themeColor="text1"/>
        </w:rPr>
        <w:t>宝坻区不动产权第</w:t>
      </w:r>
      <w:r>
        <w:rPr>
          <w:rFonts w:cs="Times New Roman"/>
          <w:color w:val="000000" w:themeColor="text1"/>
        </w:rPr>
        <w:t>1703566</w:t>
      </w:r>
      <w:r>
        <w:rPr>
          <w:rFonts w:cs="Times New Roman"/>
          <w:color w:val="000000" w:themeColor="text1"/>
        </w:rPr>
        <w:t>号的《不动产权证书》。本次</w:t>
      </w:r>
      <w:proofErr w:type="gramStart"/>
      <w:r>
        <w:rPr>
          <w:rFonts w:cs="Times New Roman"/>
          <w:color w:val="000000" w:themeColor="text1"/>
        </w:rPr>
        <w:t>募投项目</w:t>
      </w:r>
      <w:proofErr w:type="gramEnd"/>
      <w:r>
        <w:rPr>
          <w:rFonts w:cs="Times New Roman"/>
          <w:color w:val="000000" w:themeColor="text1"/>
        </w:rPr>
        <w:t>已取得批复情况如下：</w:t>
      </w:r>
    </w:p>
    <w:tbl>
      <w:tblPr>
        <w:tblStyle w:val="ab"/>
        <w:tblW w:w="4899"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66"/>
        <w:gridCol w:w="4640"/>
        <w:gridCol w:w="2603"/>
      </w:tblGrid>
      <w:tr w:rsidR="003C3FCD" w:rsidTr="00EA669B">
        <w:trPr>
          <w:trHeight w:val="436"/>
          <w:jc w:val="center"/>
        </w:trPr>
        <w:tc>
          <w:tcPr>
            <w:tcW w:w="534" w:type="pct"/>
            <w:tcBorders>
              <w:tl2br w:val="nil"/>
              <w:tr2bl w:val="nil"/>
            </w:tcBorders>
            <w:vAlign w:val="center"/>
          </w:tcPr>
          <w:p w:rsidR="003C3FCD" w:rsidRDefault="00343C0E">
            <w:pPr>
              <w:widowControl/>
              <w:jc w:val="center"/>
              <w:rPr>
                <w:rFonts w:cs="Times New Roman"/>
                <w:b/>
                <w:bCs/>
                <w:color w:val="000000"/>
                <w:kern w:val="0"/>
                <w:sz w:val="22"/>
                <w:lang w:bidi="ar"/>
              </w:rPr>
            </w:pPr>
            <w:r>
              <w:rPr>
                <w:rFonts w:cs="Times New Roman"/>
                <w:b/>
                <w:bCs/>
                <w:color w:val="000000"/>
                <w:kern w:val="0"/>
                <w:sz w:val="22"/>
                <w:lang w:bidi="ar"/>
              </w:rPr>
              <w:t>序号</w:t>
            </w:r>
          </w:p>
        </w:tc>
        <w:tc>
          <w:tcPr>
            <w:tcW w:w="2860" w:type="pct"/>
            <w:tcBorders>
              <w:tl2br w:val="nil"/>
              <w:tr2bl w:val="nil"/>
            </w:tcBorders>
            <w:vAlign w:val="center"/>
          </w:tcPr>
          <w:p w:rsidR="003C3FCD" w:rsidRDefault="00343C0E">
            <w:pPr>
              <w:widowControl/>
              <w:jc w:val="center"/>
              <w:rPr>
                <w:rFonts w:cs="Times New Roman"/>
                <w:b/>
                <w:bCs/>
                <w:color w:val="000000"/>
                <w:kern w:val="0"/>
                <w:sz w:val="22"/>
                <w:lang w:bidi="ar"/>
              </w:rPr>
            </w:pPr>
            <w:r>
              <w:rPr>
                <w:rFonts w:cs="Times New Roman"/>
                <w:b/>
                <w:bCs/>
                <w:color w:val="000000"/>
                <w:kern w:val="0"/>
                <w:sz w:val="22"/>
                <w:lang w:bidi="ar"/>
              </w:rPr>
              <w:t>立项、环评、能评等文件</w:t>
            </w:r>
          </w:p>
        </w:tc>
        <w:tc>
          <w:tcPr>
            <w:tcW w:w="1604" w:type="pct"/>
            <w:tcBorders>
              <w:tl2br w:val="nil"/>
              <w:tr2bl w:val="nil"/>
            </w:tcBorders>
            <w:vAlign w:val="center"/>
          </w:tcPr>
          <w:p w:rsidR="003C3FCD" w:rsidRDefault="00343C0E">
            <w:pPr>
              <w:widowControl/>
              <w:jc w:val="center"/>
              <w:rPr>
                <w:rFonts w:cs="Times New Roman"/>
                <w:b/>
                <w:bCs/>
                <w:color w:val="000000"/>
                <w:kern w:val="0"/>
                <w:sz w:val="22"/>
                <w:lang w:bidi="ar"/>
              </w:rPr>
            </w:pPr>
            <w:r>
              <w:rPr>
                <w:rFonts w:cs="Times New Roman"/>
                <w:b/>
                <w:bCs/>
                <w:color w:val="000000"/>
                <w:kern w:val="0"/>
                <w:sz w:val="22"/>
                <w:lang w:bidi="ar"/>
              </w:rPr>
              <w:t>发文单位</w:t>
            </w:r>
          </w:p>
        </w:tc>
      </w:tr>
      <w:tr w:rsidR="003C3FCD" w:rsidTr="00EA669B">
        <w:trPr>
          <w:trHeight w:val="302"/>
          <w:jc w:val="center"/>
        </w:trPr>
        <w:tc>
          <w:tcPr>
            <w:tcW w:w="534" w:type="pct"/>
            <w:tcBorders>
              <w:tl2br w:val="nil"/>
              <w:tr2bl w:val="nil"/>
            </w:tcBorders>
            <w:vAlign w:val="center"/>
          </w:tcPr>
          <w:p w:rsidR="003C3FCD" w:rsidRDefault="00343C0E">
            <w:pPr>
              <w:widowControl/>
              <w:jc w:val="center"/>
              <w:rPr>
                <w:rFonts w:cs="Times New Roman"/>
                <w:color w:val="000000"/>
                <w:kern w:val="0"/>
                <w:sz w:val="22"/>
                <w:lang w:bidi="ar"/>
              </w:rPr>
            </w:pPr>
            <w:r>
              <w:rPr>
                <w:rFonts w:cs="Times New Roman"/>
                <w:color w:val="000000"/>
                <w:kern w:val="0"/>
                <w:sz w:val="22"/>
                <w:lang w:bidi="ar"/>
              </w:rPr>
              <w:t>1</w:t>
            </w:r>
          </w:p>
        </w:tc>
        <w:tc>
          <w:tcPr>
            <w:tcW w:w="2860" w:type="pct"/>
            <w:tcBorders>
              <w:tl2br w:val="nil"/>
              <w:tr2bl w:val="nil"/>
            </w:tcBorders>
            <w:vAlign w:val="center"/>
          </w:tcPr>
          <w:p w:rsidR="003C3FCD" w:rsidRDefault="00343C0E">
            <w:pPr>
              <w:widowControl/>
              <w:jc w:val="left"/>
              <w:rPr>
                <w:rFonts w:cs="Times New Roman"/>
                <w:color w:val="000000"/>
                <w:kern w:val="0"/>
                <w:sz w:val="22"/>
                <w:lang w:bidi="ar"/>
              </w:rPr>
            </w:pPr>
            <w:r>
              <w:rPr>
                <w:rFonts w:cs="Times New Roman"/>
                <w:color w:val="000000"/>
                <w:kern w:val="0"/>
                <w:sz w:val="22"/>
                <w:lang w:bidi="ar"/>
              </w:rPr>
              <w:t>《关于新建宝坻新城第二水厂工程项目建议书的批复》津宝审批投资【</w:t>
            </w:r>
            <w:r>
              <w:rPr>
                <w:rFonts w:cs="Times New Roman"/>
                <w:color w:val="000000"/>
                <w:kern w:val="0"/>
                <w:sz w:val="22"/>
                <w:lang w:bidi="ar"/>
              </w:rPr>
              <w:t>2020</w:t>
            </w:r>
            <w:r>
              <w:rPr>
                <w:rFonts w:cs="Times New Roman"/>
                <w:color w:val="000000"/>
                <w:kern w:val="0"/>
                <w:sz w:val="22"/>
                <w:lang w:bidi="ar"/>
              </w:rPr>
              <w:t>】</w:t>
            </w:r>
            <w:r>
              <w:rPr>
                <w:rFonts w:cs="Times New Roman"/>
                <w:color w:val="000000"/>
                <w:kern w:val="0"/>
                <w:sz w:val="22"/>
                <w:lang w:bidi="ar"/>
              </w:rPr>
              <w:t>3</w:t>
            </w:r>
            <w:r>
              <w:rPr>
                <w:rFonts w:cs="Times New Roman"/>
                <w:color w:val="000000"/>
                <w:kern w:val="0"/>
                <w:sz w:val="22"/>
                <w:lang w:bidi="ar"/>
              </w:rPr>
              <w:t>号</w:t>
            </w:r>
          </w:p>
        </w:tc>
        <w:tc>
          <w:tcPr>
            <w:tcW w:w="1604" w:type="pct"/>
            <w:tcBorders>
              <w:tl2br w:val="nil"/>
              <w:tr2bl w:val="nil"/>
            </w:tcBorders>
            <w:vAlign w:val="center"/>
          </w:tcPr>
          <w:p w:rsidR="003C3FCD" w:rsidRDefault="00343C0E">
            <w:pPr>
              <w:widowControl/>
              <w:rPr>
                <w:rFonts w:cs="Times New Roman"/>
                <w:color w:val="000000"/>
                <w:kern w:val="0"/>
                <w:sz w:val="22"/>
                <w:lang w:bidi="ar"/>
              </w:rPr>
            </w:pPr>
            <w:r>
              <w:rPr>
                <w:rFonts w:cs="Times New Roman"/>
                <w:color w:val="000000"/>
                <w:kern w:val="0"/>
                <w:sz w:val="22"/>
                <w:lang w:bidi="ar"/>
              </w:rPr>
              <w:t>天津市宝坻区行政审批局</w:t>
            </w:r>
          </w:p>
        </w:tc>
      </w:tr>
      <w:tr w:rsidR="003C3FCD" w:rsidTr="00EA669B">
        <w:trPr>
          <w:jc w:val="center"/>
        </w:trPr>
        <w:tc>
          <w:tcPr>
            <w:tcW w:w="534" w:type="pct"/>
            <w:tcBorders>
              <w:tl2br w:val="nil"/>
              <w:tr2bl w:val="nil"/>
            </w:tcBorders>
            <w:vAlign w:val="center"/>
          </w:tcPr>
          <w:p w:rsidR="003C3FCD" w:rsidRDefault="00343C0E">
            <w:pPr>
              <w:widowControl/>
              <w:jc w:val="center"/>
              <w:rPr>
                <w:rFonts w:cs="Times New Roman"/>
                <w:color w:val="000000"/>
                <w:kern w:val="0"/>
                <w:sz w:val="22"/>
                <w:lang w:bidi="ar"/>
              </w:rPr>
            </w:pPr>
            <w:r>
              <w:rPr>
                <w:rFonts w:cs="Times New Roman"/>
                <w:color w:val="000000"/>
                <w:kern w:val="0"/>
                <w:sz w:val="22"/>
                <w:lang w:bidi="ar"/>
              </w:rPr>
              <w:t>2</w:t>
            </w:r>
          </w:p>
        </w:tc>
        <w:tc>
          <w:tcPr>
            <w:tcW w:w="2860" w:type="pct"/>
            <w:tcBorders>
              <w:tl2br w:val="nil"/>
              <w:tr2bl w:val="nil"/>
            </w:tcBorders>
            <w:vAlign w:val="center"/>
          </w:tcPr>
          <w:p w:rsidR="003C3FCD" w:rsidRDefault="00343C0E">
            <w:pPr>
              <w:widowControl/>
              <w:jc w:val="left"/>
              <w:rPr>
                <w:rFonts w:cs="Times New Roman"/>
                <w:color w:val="000000"/>
                <w:kern w:val="0"/>
                <w:sz w:val="22"/>
                <w:lang w:bidi="ar"/>
              </w:rPr>
            </w:pPr>
            <w:r>
              <w:rPr>
                <w:rFonts w:cs="Times New Roman"/>
                <w:color w:val="000000"/>
                <w:kern w:val="0"/>
                <w:sz w:val="22"/>
                <w:lang w:bidi="ar"/>
              </w:rPr>
              <w:t>《关于新建宝坻新城第二水厂工程可行性研究报告的批复》津宝审批投资【</w:t>
            </w:r>
            <w:r>
              <w:rPr>
                <w:rFonts w:cs="Times New Roman"/>
                <w:color w:val="000000"/>
                <w:kern w:val="0"/>
                <w:sz w:val="22"/>
                <w:lang w:bidi="ar"/>
              </w:rPr>
              <w:t>2020</w:t>
            </w:r>
            <w:r>
              <w:rPr>
                <w:rFonts w:cs="Times New Roman"/>
                <w:color w:val="000000"/>
                <w:kern w:val="0"/>
                <w:sz w:val="22"/>
                <w:lang w:bidi="ar"/>
              </w:rPr>
              <w:t>】</w:t>
            </w:r>
            <w:r>
              <w:rPr>
                <w:rFonts w:cs="Times New Roman"/>
                <w:color w:val="000000"/>
                <w:kern w:val="0"/>
                <w:sz w:val="22"/>
                <w:lang w:bidi="ar"/>
              </w:rPr>
              <w:t>25</w:t>
            </w:r>
            <w:r>
              <w:rPr>
                <w:rFonts w:cs="Times New Roman"/>
                <w:color w:val="000000"/>
                <w:kern w:val="0"/>
                <w:sz w:val="22"/>
                <w:lang w:bidi="ar"/>
              </w:rPr>
              <w:t>号</w:t>
            </w:r>
          </w:p>
        </w:tc>
        <w:tc>
          <w:tcPr>
            <w:tcW w:w="1604" w:type="pct"/>
            <w:tcBorders>
              <w:tl2br w:val="nil"/>
              <w:tr2bl w:val="nil"/>
            </w:tcBorders>
            <w:vAlign w:val="center"/>
          </w:tcPr>
          <w:p w:rsidR="003C3FCD" w:rsidRDefault="00343C0E">
            <w:pPr>
              <w:widowControl/>
              <w:rPr>
                <w:rFonts w:cs="Times New Roman"/>
                <w:color w:val="000000"/>
                <w:kern w:val="0"/>
                <w:sz w:val="22"/>
                <w:lang w:bidi="ar"/>
              </w:rPr>
            </w:pPr>
            <w:r>
              <w:rPr>
                <w:rFonts w:cs="Times New Roman"/>
                <w:color w:val="000000"/>
                <w:kern w:val="0"/>
                <w:sz w:val="22"/>
                <w:lang w:bidi="ar"/>
              </w:rPr>
              <w:t>天津市宝坻区行政审批局</w:t>
            </w:r>
          </w:p>
        </w:tc>
      </w:tr>
      <w:tr w:rsidR="003C3FCD" w:rsidTr="00EA669B">
        <w:trPr>
          <w:jc w:val="center"/>
        </w:trPr>
        <w:tc>
          <w:tcPr>
            <w:tcW w:w="534" w:type="pct"/>
            <w:tcBorders>
              <w:tl2br w:val="nil"/>
              <w:tr2bl w:val="nil"/>
            </w:tcBorders>
            <w:vAlign w:val="center"/>
          </w:tcPr>
          <w:p w:rsidR="003C3FCD" w:rsidRDefault="00343C0E">
            <w:pPr>
              <w:widowControl/>
              <w:jc w:val="center"/>
              <w:rPr>
                <w:rFonts w:cs="Times New Roman"/>
                <w:color w:val="000000"/>
                <w:kern w:val="0"/>
                <w:sz w:val="22"/>
                <w:lang w:bidi="ar"/>
              </w:rPr>
            </w:pPr>
            <w:r>
              <w:rPr>
                <w:rFonts w:cs="Times New Roman"/>
                <w:color w:val="000000"/>
                <w:kern w:val="0"/>
                <w:sz w:val="22"/>
                <w:lang w:bidi="ar"/>
              </w:rPr>
              <w:t>3</w:t>
            </w:r>
          </w:p>
        </w:tc>
        <w:tc>
          <w:tcPr>
            <w:tcW w:w="2860" w:type="pct"/>
            <w:tcBorders>
              <w:tl2br w:val="nil"/>
              <w:tr2bl w:val="nil"/>
            </w:tcBorders>
            <w:vAlign w:val="center"/>
          </w:tcPr>
          <w:p w:rsidR="003C3FCD" w:rsidRDefault="00343C0E">
            <w:pPr>
              <w:widowControl/>
              <w:jc w:val="left"/>
              <w:rPr>
                <w:rFonts w:cs="Times New Roman"/>
                <w:color w:val="000000"/>
                <w:kern w:val="0"/>
                <w:sz w:val="22"/>
                <w:lang w:bidi="ar"/>
              </w:rPr>
            </w:pPr>
            <w:r>
              <w:rPr>
                <w:rFonts w:cs="Times New Roman"/>
                <w:color w:val="000000"/>
                <w:kern w:val="0"/>
                <w:sz w:val="22"/>
                <w:lang w:bidi="ar"/>
              </w:rPr>
              <w:t>《关于新建宝坻新城第二水厂工程初步设计的批复》津宝审批投资【</w:t>
            </w:r>
            <w:r>
              <w:rPr>
                <w:rFonts w:cs="Times New Roman"/>
                <w:color w:val="000000"/>
                <w:kern w:val="0"/>
                <w:sz w:val="22"/>
                <w:lang w:bidi="ar"/>
              </w:rPr>
              <w:t>2020</w:t>
            </w:r>
            <w:r>
              <w:rPr>
                <w:rFonts w:cs="Times New Roman"/>
                <w:color w:val="000000"/>
                <w:kern w:val="0"/>
                <w:sz w:val="22"/>
                <w:lang w:bidi="ar"/>
              </w:rPr>
              <w:t>】</w:t>
            </w:r>
            <w:r>
              <w:rPr>
                <w:rFonts w:cs="Times New Roman"/>
                <w:color w:val="000000"/>
                <w:kern w:val="0"/>
                <w:sz w:val="22"/>
                <w:lang w:bidi="ar"/>
              </w:rPr>
              <w:t>59</w:t>
            </w:r>
            <w:r>
              <w:rPr>
                <w:rFonts w:cs="Times New Roman"/>
                <w:color w:val="000000"/>
                <w:kern w:val="0"/>
                <w:sz w:val="22"/>
                <w:lang w:bidi="ar"/>
              </w:rPr>
              <w:t>号</w:t>
            </w:r>
          </w:p>
        </w:tc>
        <w:tc>
          <w:tcPr>
            <w:tcW w:w="1604" w:type="pct"/>
            <w:tcBorders>
              <w:tl2br w:val="nil"/>
              <w:tr2bl w:val="nil"/>
            </w:tcBorders>
            <w:vAlign w:val="center"/>
          </w:tcPr>
          <w:p w:rsidR="003C3FCD" w:rsidRDefault="00343C0E">
            <w:pPr>
              <w:widowControl/>
              <w:rPr>
                <w:rFonts w:cs="Times New Roman"/>
                <w:color w:val="000000"/>
                <w:kern w:val="0"/>
                <w:sz w:val="22"/>
                <w:lang w:bidi="ar"/>
              </w:rPr>
            </w:pPr>
            <w:r>
              <w:rPr>
                <w:rFonts w:cs="Times New Roman"/>
                <w:color w:val="000000"/>
                <w:kern w:val="0"/>
                <w:sz w:val="22"/>
                <w:lang w:bidi="ar"/>
              </w:rPr>
              <w:t>天津市宝坻区行政审批局</w:t>
            </w:r>
          </w:p>
        </w:tc>
      </w:tr>
      <w:tr w:rsidR="003C3FCD" w:rsidTr="00EA669B">
        <w:trPr>
          <w:jc w:val="center"/>
        </w:trPr>
        <w:tc>
          <w:tcPr>
            <w:tcW w:w="534" w:type="pct"/>
            <w:tcBorders>
              <w:tl2br w:val="nil"/>
              <w:tr2bl w:val="nil"/>
            </w:tcBorders>
            <w:vAlign w:val="center"/>
          </w:tcPr>
          <w:p w:rsidR="003C3FCD" w:rsidRDefault="00343C0E">
            <w:pPr>
              <w:widowControl/>
              <w:jc w:val="center"/>
              <w:rPr>
                <w:rFonts w:cs="Times New Roman"/>
                <w:color w:val="000000"/>
                <w:kern w:val="0"/>
                <w:sz w:val="22"/>
                <w:lang w:bidi="ar"/>
              </w:rPr>
            </w:pPr>
            <w:r>
              <w:rPr>
                <w:rFonts w:cs="Times New Roman"/>
                <w:color w:val="000000"/>
                <w:kern w:val="0"/>
                <w:sz w:val="22"/>
                <w:lang w:bidi="ar"/>
              </w:rPr>
              <w:t>4</w:t>
            </w:r>
          </w:p>
        </w:tc>
        <w:tc>
          <w:tcPr>
            <w:tcW w:w="2860" w:type="pct"/>
            <w:tcBorders>
              <w:tl2br w:val="nil"/>
              <w:tr2bl w:val="nil"/>
            </w:tcBorders>
            <w:vAlign w:val="center"/>
          </w:tcPr>
          <w:p w:rsidR="003C3FCD" w:rsidRDefault="00343C0E">
            <w:pPr>
              <w:widowControl/>
              <w:jc w:val="left"/>
              <w:rPr>
                <w:rFonts w:cs="Times New Roman"/>
                <w:color w:val="000000"/>
                <w:kern w:val="0"/>
                <w:sz w:val="22"/>
                <w:lang w:bidi="ar"/>
              </w:rPr>
            </w:pPr>
            <w:r>
              <w:rPr>
                <w:rFonts w:cs="Times New Roman"/>
                <w:color w:val="000000"/>
                <w:kern w:val="0"/>
                <w:sz w:val="21"/>
                <w:szCs w:val="21"/>
                <w:lang w:bidi="ar"/>
              </w:rPr>
              <w:t>《</w:t>
            </w:r>
            <w:r>
              <w:rPr>
                <w:rFonts w:cs="Times New Roman"/>
                <w:color w:val="000000"/>
                <w:kern w:val="0"/>
                <w:sz w:val="22"/>
                <w:lang w:bidi="ar"/>
              </w:rPr>
              <w:t>关于新建宝坻新城第二水厂工程</w:t>
            </w:r>
            <w:r>
              <w:rPr>
                <w:rFonts w:cs="Times New Roman"/>
                <w:color w:val="000000"/>
                <w:kern w:val="0"/>
                <w:sz w:val="21"/>
                <w:szCs w:val="21"/>
                <w:lang w:bidi="ar"/>
              </w:rPr>
              <w:t>环境影响报告表的批复》</w:t>
            </w:r>
            <w:r>
              <w:rPr>
                <w:rFonts w:cs="Times New Roman"/>
                <w:color w:val="000000"/>
                <w:kern w:val="0"/>
                <w:sz w:val="22"/>
                <w:lang w:bidi="ar"/>
              </w:rPr>
              <w:t>津宝审批许可【</w:t>
            </w:r>
            <w:r>
              <w:rPr>
                <w:rFonts w:cs="Times New Roman"/>
                <w:color w:val="000000"/>
                <w:kern w:val="0"/>
                <w:sz w:val="22"/>
                <w:lang w:bidi="ar"/>
              </w:rPr>
              <w:t>2020</w:t>
            </w:r>
            <w:r>
              <w:rPr>
                <w:rFonts w:cs="Times New Roman"/>
                <w:color w:val="000000"/>
                <w:kern w:val="0"/>
                <w:sz w:val="22"/>
                <w:lang w:bidi="ar"/>
              </w:rPr>
              <w:t>】</w:t>
            </w:r>
            <w:r>
              <w:rPr>
                <w:rFonts w:cs="Times New Roman"/>
                <w:color w:val="000000"/>
                <w:kern w:val="0"/>
                <w:sz w:val="22"/>
                <w:lang w:bidi="ar"/>
              </w:rPr>
              <w:t>68</w:t>
            </w:r>
            <w:r>
              <w:rPr>
                <w:rFonts w:cs="Times New Roman"/>
                <w:color w:val="000000"/>
                <w:kern w:val="0"/>
                <w:sz w:val="22"/>
                <w:lang w:bidi="ar"/>
              </w:rPr>
              <w:t>号</w:t>
            </w:r>
          </w:p>
        </w:tc>
        <w:tc>
          <w:tcPr>
            <w:tcW w:w="1604" w:type="pct"/>
            <w:tcBorders>
              <w:tl2br w:val="nil"/>
              <w:tr2bl w:val="nil"/>
            </w:tcBorders>
            <w:vAlign w:val="center"/>
          </w:tcPr>
          <w:p w:rsidR="003C3FCD" w:rsidRDefault="00343C0E">
            <w:pPr>
              <w:widowControl/>
              <w:rPr>
                <w:rFonts w:cs="Times New Roman"/>
                <w:color w:val="000000"/>
                <w:kern w:val="0"/>
                <w:sz w:val="22"/>
                <w:lang w:bidi="ar"/>
              </w:rPr>
            </w:pPr>
            <w:r>
              <w:rPr>
                <w:rFonts w:cs="Times New Roman"/>
                <w:color w:val="000000"/>
                <w:kern w:val="0"/>
                <w:sz w:val="22"/>
                <w:lang w:bidi="ar"/>
              </w:rPr>
              <w:t>天津市宝坻区行政审批局</w:t>
            </w:r>
          </w:p>
        </w:tc>
      </w:tr>
      <w:tr w:rsidR="003C3FCD" w:rsidTr="00EA669B">
        <w:trPr>
          <w:jc w:val="center"/>
        </w:trPr>
        <w:tc>
          <w:tcPr>
            <w:tcW w:w="534" w:type="pct"/>
            <w:tcBorders>
              <w:tl2br w:val="nil"/>
              <w:tr2bl w:val="nil"/>
            </w:tcBorders>
            <w:vAlign w:val="center"/>
          </w:tcPr>
          <w:p w:rsidR="003C3FCD" w:rsidRDefault="00343C0E">
            <w:pPr>
              <w:widowControl/>
              <w:jc w:val="center"/>
              <w:rPr>
                <w:rFonts w:cs="Times New Roman"/>
                <w:color w:val="000000"/>
                <w:kern w:val="0"/>
                <w:sz w:val="22"/>
                <w:lang w:bidi="ar"/>
              </w:rPr>
            </w:pPr>
            <w:r>
              <w:rPr>
                <w:rFonts w:cs="Times New Roman"/>
                <w:color w:val="000000"/>
                <w:kern w:val="0"/>
                <w:sz w:val="22"/>
                <w:lang w:bidi="ar"/>
              </w:rPr>
              <w:t>5</w:t>
            </w:r>
          </w:p>
        </w:tc>
        <w:tc>
          <w:tcPr>
            <w:tcW w:w="2860" w:type="pct"/>
            <w:tcBorders>
              <w:tl2br w:val="nil"/>
              <w:tr2bl w:val="nil"/>
            </w:tcBorders>
            <w:vAlign w:val="center"/>
          </w:tcPr>
          <w:p w:rsidR="003C3FCD" w:rsidRDefault="00343C0E">
            <w:pPr>
              <w:widowControl/>
              <w:jc w:val="left"/>
              <w:rPr>
                <w:rFonts w:cs="Times New Roman"/>
                <w:color w:val="000000"/>
                <w:kern w:val="0"/>
                <w:sz w:val="22"/>
                <w:lang w:bidi="ar"/>
              </w:rPr>
            </w:pPr>
            <w:r>
              <w:rPr>
                <w:rFonts w:cs="Times New Roman"/>
                <w:color w:val="000000"/>
                <w:kern w:val="0"/>
                <w:sz w:val="22"/>
                <w:lang w:bidi="ar"/>
              </w:rPr>
              <w:t>《关于准予天津市泉达水务有限公司新建宝坻新城第二水厂工程合理用能审批予以通过的决定》津宝审批许可【</w:t>
            </w:r>
            <w:r>
              <w:rPr>
                <w:rFonts w:cs="Times New Roman"/>
                <w:color w:val="000000"/>
                <w:kern w:val="0"/>
                <w:sz w:val="22"/>
                <w:lang w:bidi="ar"/>
              </w:rPr>
              <w:t>2023</w:t>
            </w:r>
            <w:r>
              <w:rPr>
                <w:rFonts w:cs="Times New Roman"/>
                <w:color w:val="000000"/>
                <w:kern w:val="0"/>
                <w:sz w:val="22"/>
                <w:lang w:bidi="ar"/>
              </w:rPr>
              <w:t>】</w:t>
            </w:r>
            <w:r>
              <w:rPr>
                <w:rFonts w:cs="Times New Roman"/>
                <w:color w:val="000000"/>
                <w:kern w:val="0"/>
                <w:sz w:val="22"/>
                <w:lang w:bidi="ar"/>
              </w:rPr>
              <w:t>119</w:t>
            </w:r>
            <w:r>
              <w:rPr>
                <w:rFonts w:cs="Times New Roman"/>
                <w:color w:val="000000"/>
                <w:kern w:val="0"/>
                <w:sz w:val="22"/>
                <w:lang w:bidi="ar"/>
              </w:rPr>
              <w:t>号</w:t>
            </w:r>
          </w:p>
        </w:tc>
        <w:tc>
          <w:tcPr>
            <w:tcW w:w="1604" w:type="pct"/>
            <w:tcBorders>
              <w:tl2br w:val="nil"/>
              <w:tr2bl w:val="nil"/>
            </w:tcBorders>
            <w:vAlign w:val="center"/>
          </w:tcPr>
          <w:p w:rsidR="003C3FCD" w:rsidRDefault="00343C0E">
            <w:pPr>
              <w:widowControl/>
              <w:rPr>
                <w:rFonts w:cs="Times New Roman"/>
                <w:color w:val="000000"/>
                <w:kern w:val="0"/>
                <w:sz w:val="22"/>
                <w:lang w:bidi="ar"/>
              </w:rPr>
            </w:pPr>
            <w:r>
              <w:rPr>
                <w:rFonts w:cs="Times New Roman"/>
                <w:color w:val="000000"/>
                <w:kern w:val="0"/>
                <w:sz w:val="22"/>
                <w:lang w:bidi="ar"/>
              </w:rPr>
              <w:t>天津市宝坻区行政审批局</w:t>
            </w:r>
          </w:p>
        </w:tc>
      </w:tr>
    </w:tbl>
    <w:p w:rsidR="003C3FCD" w:rsidRDefault="00343C0E">
      <w:pPr>
        <w:pStyle w:val="3"/>
        <w:spacing w:before="120" w:after="120" w:line="360" w:lineRule="auto"/>
        <w:ind w:firstLineChars="200" w:firstLine="482"/>
        <w:rPr>
          <w:rFonts w:cs="Times New Roman"/>
          <w:color w:val="000000" w:themeColor="text1"/>
          <w:sz w:val="24"/>
        </w:rPr>
      </w:pPr>
      <w:r>
        <w:rPr>
          <w:rFonts w:cs="Times New Roman"/>
          <w:color w:val="000000" w:themeColor="text1"/>
          <w:sz w:val="24"/>
        </w:rPr>
        <w:t>（二）补充流动资金</w:t>
      </w:r>
    </w:p>
    <w:p w:rsidR="003C3FCD" w:rsidRDefault="00343C0E">
      <w:pPr>
        <w:spacing w:beforeLines="50" w:before="163" w:afterLines="50" w:after="163" w:line="360" w:lineRule="auto"/>
        <w:ind w:firstLineChars="200" w:firstLine="482"/>
        <w:rPr>
          <w:rFonts w:cs="Times New Roman"/>
          <w:b/>
          <w:color w:val="000000" w:themeColor="text1"/>
        </w:rPr>
      </w:pPr>
      <w:r>
        <w:rPr>
          <w:rFonts w:cs="Times New Roman"/>
          <w:b/>
          <w:color w:val="000000" w:themeColor="text1"/>
        </w:rPr>
        <w:t>1</w:t>
      </w:r>
      <w:r>
        <w:rPr>
          <w:rFonts w:cs="Times New Roman"/>
          <w:b/>
          <w:color w:val="000000" w:themeColor="text1"/>
        </w:rPr>
        <w:t>、项目的基本情况</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本次发行，公司拟使用不超过</w:t>
      </w:r>
      <w:r>
        <w:rPr>
          <w:rFonts w:cs="Times New Roman"/>
          <w:color w:val="000000" w:themeColor="text1"/>
        </w:rPr>
        <w:t>9,000.00</w:t>
      </w:r>
      <w:r>
        <w:rPr>
          <w:rFonts w:cs="Times New Roman"/>
          <w:color w:val="000000" w:themeColor="text1"/>
        </w:rPr>
        <w:t>万元募集资金用于补充流动资金，以满足公司主营业务持续发展的资金需求，并改善公司资产结构，提升抗风险能力。</w:t>
      </w:r>
    </w:p>
    <w:p w:rsidR="003C3FCD" w:rsidRDefault="00343C0E">
      <w:pPr>
        <w:spacing w:beforeLines="50" w:before="163" w:afterLines="50" w:after="163" w:line="360" w:lineRule="auto"/>
        <w:ind w:firstLineChars="200" w:firstLine="482"/>
        <w:rPr>
          <w:rFonts w:cs="Times New Roman"/>
          <w:b/>
          <w:color w:val="000000" w:themeColor="text1"/>
        </w:rPr>
      </w:pPr>
      <w:r>
        <w:rPr>
          <w:rFonts w:cs="Times New Roman"/>
          <w:b/>
          <w:color w:val="000000" w:themeColor="text1"/>
        </w:rPr>
        <w:t>2</w:t>
      </w:r>
      <w:r>
        <w:rPr>
          <w:rFonts w:cs="Times New Roman"/>
          <w:b/>
          <w:color w:val="000000" w:themeColor="text1"/>
        </w:rPr>
        <w:t>、项目的必要性分析</w:t>
      </w:r>
    </w:p>
    <w:p w:rsidR="003C3FCD" w:rsidRDefault="00343C0E">
      <w:pPr>
        <w:spacing w:beforeLines="50" w:before="163" w:afterLines="50" w:after="163" w:line="360" w:lineRule="auto"/>
        <w:ind w:firstLineChars="200" w:firstLine="480"/>
        <w:rPr>
          <w:rFonts w:cs="Times New Roman"/>
          <w:color w:val="000000" w:themeColor="text1"/>
          <w:szCs w:val="24"/>
        </w:rPr>
      </w:pPr>
      <w:r>
        <w:rPr>
          <w:rFonts w:cs="Times New Roman"/>
          <w:color w:val="000000" w:themeColor="text1"/>
          <w:szCs w:val="24"/>
        </w:rPr>
        <w:lastRenderedPageBreak/>
        <w:t>（</w:t>
      </w:r>
      <w:r>
        <w:rPr>
          <w:rFonts w:cs="Times New Roman"/>
          <w:color w:val="000000" w:themeColor="text1"/>
          <w:szCs w:val="24"/>
        </w:rPr>
        <w:t>1</w:t>
      </w:r>
      <w:r>
        <w:rPr>
          <w:rFonts w:cs="Times New Roman"/>
          <w:color w:val="000000" w:themeColor="text1"/>
          <w:szCs w:val="24"/>
        </w:rPr>
        <w:t>）公司业务扩张，需要充足的流动资金保障</w:t>
      </w:r>
    </w:p>
    <w:p w:rsidR="003C3FCD" w:rsidRDefault="00343C0E">
      <w:pPr>
        <w:spacing w:beforeLines="50" w:before="163" w:afterLines="50" w:after="163" w:line="360" w:lineRule="auto"/>
        <w:ind w:firstLineChars="200" w:firstLine="480"/>
        <w:rPr>
          <w:rFonts w:cs="Times New Roman"/>
          <w:color w:val="000000" w:themeColor="text1"/>
          <w:szCs w:val="24"/>
        </w:rPr>
      </w:pPr>
      <w:r>
        <w:rPr>
          <w:rFonts w:cs="Times New Roman"/>
          <w:color w:val="000000" w:themeColor="text1"/>
          <w:szCs w:val="24"/>
        </w:rPr>
        <w:t>随着公司业务拓展，公司流动资金需求也将随之增长。本次补充流动资金与公司未来生产经营规模、资产规模、业务开展情况等相匹配，有助于满足公司未来对于流动资金的需求。</w:t>
      </w:r>
    </w:p>
    <w:p w:rsidR="003C3FCD" w:rsidRDefault="00343C0E">
      <w:pPr>
        <w:spacing w:beforeLines="50" w:before="163" w:afterLines="50" w:after="163" w:line="360" w:lineRule="auto"/>
        <w:ind w:firstLineChars="200" w:firstLine="480"/>
        <w:rPr>
          <w:rFonts w:cs="Times New Roman"/>
          <w:color w:val="000000" w:themeColor="text1"/>
          <w:szCs w:val="24"/>
        </w:rPr>
      </w:pPr>
      <w:r>
        <w:rPr>
          <w:rFonts w:cs="Times New Roman"/>
          <w:color w:val="000000" w:themeColor="text1"/>
          <w:szCs w:val="24"/>
        </w:rPr>
        <w:t>（</w:t>
      </w:r>
      <w:r>
        <w:rPr>
          <w:rFonts w:cs="Times New Roman"/>
          <w:color w:val="000000" w:themeColor="text1"/>
          <w:szCs w:val="24"/>
        </w:rPr>
        <w:t>2</w:t>
      </w:r>
      <w:r>
        <w:rPr>
          <w:rFonts w:cs="Times New Roman"/>
          <w:color w:val="000000" w:themeColor="text1"/>
          <w:szCs w:val="24"/>
        </w:rPr>
        <w:t>）优化资本结构，提升抗风险能力</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szCs w:val="24"/>
        </w:rPr>
        <w:t>近年来，随着公司现有主营业务的发展，以及募集资金投资项目的建设实施，公司生产和销售规模会持续扩大，需要筹集更多资金来满足流动资金需求。本次补充流动资金有利于满足公司未来业务发展的流动资金需求，优化公司的资本结构，增强公司资本实力，使公司的持续经营能力和抗风险能力得到进一步提升，具有必要性。</w:t>
      </w:r>
    </w:p>
    <w:p w:rsidR="003C3FCD" w:rsidRDefault="00343C0E">
      <w:pPr>
        <w:pStyle w:val="2"/>
        <w:spacing w:before="120" w:after="120" w:line="360" w:lineRule="auto"/>
        <w:rPr>
          <w:rFonts w:ascii="Times New Roman" w:eastAsia="黑体" w:hAnsi="Times New Roman" w:cs="Times New Roman"/>
          <w:color w:val="000000" w:themeColor="text1"/>
          <w:sz w:val="28"/>
        </w:rPr>
      </w:pPr>
      <w:bookmarkStart w:id="19" w:name="_Toc146198219"/>
      <w:r>
        <w:rPr>
          <w:rFonts w:ascii="Times New Roman" w:eastAsia="黑体" w:hAnsi="Times New Roman" w:cs="Times New Roman"/>
          <w:color w:val="000000" w:themeColor="text1"/>
          <w:sz w:val="28"/>
        </w:rPr>
        <w:t>三、本次发行对公司经营管理、财务状况的影响</w:t>
      </w:r>
      <w:bookmarkEnd w:id="19"/>
      <w:r>
        <w:rPr>
          <w:rFonts w:ascii="Times New Roman" w:eastAsia="黑体" w:hAnsi="Times New Roman" w:cs="Times New Roman"/>
          <w:color w:val="000000" w:themeColor="text1"/>
          <w:sz w:val="28"/>
        </w:rPr>
        <w:tab/>
      </w:r>
    </w:p>
    <w:p w:rsidR="003C3FCD" w:rsidRDefault="00343C0E">
      <w:pPr>
        <w:pStyle w:val="3"/>
        <w:spacing w:before="120" w:after="120" w:line="360" w:lineRule="auto"/>
        <w:ind w:firstLineChars="200" w:firstLine="482"/>
        <w:rPr>
          <w:rFonts w:cs="Times New Roman"/>
          <w:color w:val="000000" w:themeColor="text1"/>
          <w:sz w:val="24"/>
        </w:rPr>
      </w:pPr>
      <w:r>
        <w:rPr>
          <w:rFonts w:cs="Times New Roman"/>
          <w:color w:val="000000" w:themeColor="text1"/>
          <w:sz w:val="24"/>
        </w:rPr>
        <w:t>（一）本次发行对公司经营管理的影响</w:t>
      </w:r>
    </w:p>
    <w:p w:rsidR="003C3FCD" w:rsidRDefault="00343C0E">
      <w:pPr>
        <w:widowControl/>
        <w:kinsoku w:val="0"/>
        <w:autoSpaceDE w:val="0"/>
        <w:autoSpaceDN w:val="0"/>
        <w:adjustRightInd w:val="0"/>
        <w:snapToGrid w:val="0"/>
        <w:spacing w:line="360" w:lineRule="auto"/>
        <w:ind w:firstLineChars="200" w:firstLine="480"/>
        <w:jc w:val="left"/>
        <w:textAlignment w:val="baseline"/>
        <w:rPr>
          <w:rFonts w:eastAsia="Arial" w:cs="Times New Roman"/>
          <w:snapToGrid w:val="0"/>
          <w:color w:val="000000" w:themeColor="text1"/>
          <w:kern w:val="0"/>
          <w:sz w:val="21"/>
          <w:szCs w:val="21"/>
        </w:rPr>
      </w:pPr>
      <w:r>
        <w:rPr>
          <w:rFonts w:cs="Times New Roman"/>
          <w:color w:val="000000" w:themeColor="text1"/>
        </w:rPr>
        <w:t>本次</w:t>
      </w:r>
      <w:proofErr w:type="gramStart"/>
      <w:r>
        <w:rPr>
          <w:rFonts w:cs="Times New Roman"/>
          <w:color w:val="000000" w:themeColor="text1"/>
        </w:rPr>
        <w:t>募投项目</w:t>
      </w:r>
      <w:proofErr w:type="gramEnd"/>
      <w:r>
        <w:rPr>
          <w:rFonts w:cs="Times New Roman"/>
          <w:color w:val="000000" w:themeColor="text1"/>
        </w:rPr>
        <w:t>符合国家产业政策和公司未来战略发展规划，有利于公司把握市场机遇，扩大业务规模，提升公司综合实力，进一步增强公司可持续发展能力，为公司未来业务发展提供持续动力。因此，本次发行将对公司经营业务产生积极影响，有利于公司未来业务的扩展，提升公司的核心竞争力，实现并维护股东的长远利益。</w:t>
      </w:r>
    </w:p>
    <w:p w:rsidR="003C3FCD" w:rsidRDefault="00343C0E">
      <w:pPr>
        <w:pStyle w:val="3"/>
        <w:spacing w:before="120" w:after="120" w:line="360" w:lineRule="auto"/>
        <w:ind w:firstLineChars="200" w:firstLine="482"/>
        <w:rPr>
          <w:rFonts w:cs="Times New Roman"/>
          <w:color w:val="000000" w:themeColor="text1"/>
          <w:sz w:val="24"/>
        </w:rPr>
      </w:pPr>
      <w:r>
        <w:rPr>
          <w:rFonts w:cs="Times New Roman"/>
          <w:color w:val="000000" w:themeColor="text1"/>
          <w:sz w:val="24"/>
        </w:rPr>
        <w:t>（二）本次发行对公司财务状况的影响</w:t>
      </w:r>
    </w:p>
    <w:p w:rsidR="003C3FCD" w:rsidRDefault="00343C0E">
      <w:pPr>
        <w:spacing w:beforeLines="50" w:before="163" w:afterLines="50" w:after="163" w:line="360" w:lineRule="auto"/>
        <w:ind w:firstLineChars="200" w:firstLine="480"/>
        <w:rPr>
          <w:rFonts w:cs="Times New Roman"/>
          <w:color w:val="000000" w:themeColor="text1"/>
        </w:rPr>
      </w:pPr>
      <w:bookmarkStart w:id="20" w:name="bookmark19"/>
      <w:bookmarkEnd w:id="20"/>
      <w:r>
        <w:rPr>
          <w:rFonts w:cs="Times New Roman"/>
          <w:color w:val="000000" w:themeColor="text1"/>
        </w:rPr>
        <w:t>本次发行完成后，公司的总资产及净资产规模均有所提高，资金实力将得到增强。同时，本次</w:t>
      </w:r>
      <w:proofErr w:type="gramStart"/>
      <w:r>
        <w:rPr>
          <w:rFonts w:cs="Times New Roman"/>
          <w:color w:val="000000" w:themeColor="text1"/>
        </w:rPr>
        <w:t>募投项目</w:t>
      </w:r>
      <w:proofErr w:type="gramEnd"/>
      <w:r>
        <w:rPr>
          <w:rFonts w:cs="Times New Roman"/>
          <w:color w:val="000000" w:themeColor="text1"/>
        </w:rPr>
        <w:t>具有良好的经济效益，随着</w:t>
      </w:r>
      <w:proofErr w:type="gramStart"/>
      <w:r>
        <w:rPr>
          <w:rFonts w:cs="Times New Roman"/>
          <w:color w:val="000000" w:themeColor="text1"/>
        </w:rPr>
        <w:t>募投项目</w:t>
      </w:r>
      <w:proofErr w:type="gramEnd"/>
      <w:r>
        <w:rPr>
          <w:rFonts w:cs="Times New Roman"/>
          <w:color w:val="000000" w:themeColor="text1"/>
        </w:rPr>
        <w:t>建成投产以及效益的实现，公司主营业务的盈利能力也将得以加强，公司总体现金流状况将得到进一步优化，从而为公司后续发展提供有力保障。</w:t>
      </w:r>
    </w:p>
    <w:p w:rsidR="003C3FCD" w:rsidRDefault="00343C0E">
      <w:pPr>
        <w:pStyle w:val="2"/>
        <w:spacing w:before="120" w:after="120" w:line="360" w:lineRule="auto"/>
        <w:rPr>
          <w:rFonts w:ascii="Times New Roman" w:eastAsia="黑体" w:hAnsi="Times New Roman" w:cs="Times New Roman"/>
          <w:color w:val="000000" w:themeColor="text1"/>
          <w:sz w:val="28"/>
        </w:rPr>
      </w:pPr>
      <w:bookmarkStart w:id="21" w:name="_Toc146198220"/>
      <w:r>
        <w:rPr>
          <w:rFonts w:ascii="Times New Roman" w:eastAsia="黑体" w:hAnsi="Times New Roman" w:cs="Times New Roman"/>
          <w:color w:val="000000" w:themeColor="text1"/>
          <w:sz w:val="28"/>
        </w:rPr>
        <w:t>四、本次募集资金投资项目可行性分析结论</w:t>
      </w:r>
      <w:bookmarkEnd w:id="21"/>
      <w:r>
        <w:rPr>
          <w:rFonts w:ascii="Times New Roman" w:eastAsia="黑体" w:hAnsi="Times New Roman" w:cs="Times New Roman"/>
          <w:color w:val="000000" w:themeColor="text1"/>
          <w:sz w:val="28"/>
        </w:rPr>
        <w:tab/>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综上所述，公司本次发行股票的募集资金投资项目符合国家的产业政策和公司的战略发展规划，募集资金投资项目属于公司主营业务范围，市场前景良好、</w:t>
      </w:r>
      <w:r>
        <w:rPr>
          <w:rFonts w:cs="Times New Roman"/>
          <w:color w:val="000000" w:themeColor="text1"/>
        </w:rPr>
        <w:lastRenderedPageBreak/>
        <w:t>盈利能力较强，有利于增强公司的核心竞争力、促进公司的可持续发展，具有可行性和必要性，符合公司及全体股东利益。</w:t>
      </w:r>
    </w:p>
    <w:p w:rsidR="003C3FCD" w:rsidRDefault="003C3FCD">
      <w:pPr>
        <w:spacing w:beforeLines="50" w:before="163" w:afterLines="50" w:after="163" w:line="360" w:lineRule="auto"/>
        <w:rPr>
          <w:rFonts w:cs="Times New Roman"/>
          <w:color w:val="000000" w:themeColor="text1"/>
        </w:rPr>
      </w:pPr>
    </w:p>
    <w:p w:rsidR="003C3FCD" w:rsidRDefault="00343C0E">
      <w:pPr>
        <w:widowControl/>
        <w:jc w:val="left"/>
        <w:rPr>
          <w:rFonts w:cs="Times New Roman"/>
          <w:color w:val="000000" w:themeColor="text1"/>
        </w:rPr>
      </w:pPr>
      <w:r>
        <w:rPr>
          <w:rFonts w:cs="Times New Roman"/>
          <w:color w:val="000000" w:themeColor="text1"/>
        </w:rPr>
        <w:br w:type="page"/>
      </w:r>
    </w:p>
    <w:p w:rsidR="003C3FCD" w:rsidRDefault="00343C0E">
      <w:pPr>
        <w:pStyle w:val="1"/>
        <w:jc w:val="center"/>
        <w:rPr>
          <w:rFonts w:cs="Times New Roman"/>
          <w:color w:val="000000" w:themeColor="text1"/>
          <w:sz w:val="32"/>
        </w:rPr>
      </w:pPr>
      <w:bookmarkStart w:id="22" w:name="_Toc146198221"/>
      <w:r>
        <w:rPr>
          <w:rFonts w:cs="Times New Roman"/>
          <w:color w:val="000000" w:themeColor="text1"/>
          <w:sz w:val="32"/>
        </w:rPr>
        <w:lastRenderedPageBreak/>
        <w:t>第三节</w:t>
      </w:r>
      <w:r>
        <w:rPr>
          <w:rFonts w:cs="Times New Roman"/>
          <w:color w:val="000000" w:themeColor="text1"/>
          <w:sz w:val="32"/>
        </w:rPr>
        <w:t xml:space="preserve"> </w:t>
      </w:r>
      <w:r>
        <w:rPr>
          <w:rFonts w:cs="Times New Roman"/>
          <w:color w:val="000000" w:themeColor="text1"/>
          <w:sz w:val="32"/>
        </w:rPr>
        <w:t>董事会关于本次发行对公司影响的讨论与分析</w:t>
      </w:r>
      <w:bookmarkEnd w:id="22"/>
    </w:p>
    <w:p w:rsidR="003C3FCD" w:rsidRDefault="00343C0E">
      <w:pPr>
        <w:pStyle w:val="2"/>
        <w:spacing w:before="120" w:after="120" w:line="360" w:lineRule="auto"/>
        <w:rPr>
          <w:rFonts w:ascii="Times New Roman" w:eastAsia="黑体" w:hAnsi="Times New Roman" w:cs="Times New Roman"/>
          <w:color w:val="000000" w:themeColor="text1"/>
          <w:sz w:val="28"/>
        </w:rPr>
      </w:pPr>
      <w:bookmarkStart w:id="23" w:name="_Toc146198222"/>
      <w:r>
        <w:rPr>
          <w:rFonts w:ascii="Times New Roman" w:eastAsia="黑体" w:hAnsi="Times New Roman" w:cs="Times New Roman"/>
          <w:color w:val="000000" w:themeColor="text1"/>
          <w:sz w:val="28"/>
        </w:rPr>
        <w:t>一、本次发行后公司业务及资产、公司章程、股东结构、高管人员结构、业务结构的变动情况</w:t>
      </w:r>
      <w:bookmarkEnd w:id="23"/>
    </w:p>
    <w:p w:rsidR="003C3FCD" w:rsidRDefault="00343C0E">
      <w:pPr>
        <w:pStyle w:val="3"/>
        <w:spacing w:before="120" w:after="120" w:line="360" w:lineRule="auto"/>
        <w:ind w:firstLineChars="200" w:firstLine="482"/>
        <w:rPr>
          <w:rFonts w:cs="Times New Roman"/>
          <w:color w:val="000000" w:themeColor="text1"/>
          <w:sz w:val="24"/>
        </w:rPr>
      </w:pPr>
      <w:bookmarkStart w:id="24" w:name="_Toc140187584"/>
      <w:r>
        <w:rPr>
          <w:rFonts w:cs="Times New Roman"/>
          <w:color w:val="000000" w:themeColor="text1"/>
          <w:sz w:val="24"/>
        </w:rPr>
        <w:t>（一）本次发行后公司业务及资产整合计划</w:t>
      </w:r>
      <w:bookmarkEnd w:id="24"/>
    </w:p>
    <w:p w:rsidR="003C3FCD" w:rsidRDefault="00343C0E">
      <w:pPr>
        <w:autoSpaceDE w:val="0"/>
        <w:autoSpaceDN w:val="0"/>
        <w:adjustRightInd w:val="0"/>
        <w:snapToGrid w:val="0"/>
        <w:spacing w:beforeLines="50" w:before="163" w:afterLines="50" w:after="163" w:line="360" w:lineRule="auto"/>
        <w:ind w:firstLineChars="200" w:firstLine="480"/>
        <w:textAlignment w:val="baseline"/>
        <w:rPr>
          <w:rFonts w:cs="Times New Roman"/>
          <w:color w:val="000000" w:themeColor="text1"/>
        </w:rPr>
      </w:pPr>
      <w:r>
        <w:rPr>
          <w:rFonts w:cs="Times New Roman"/>
          <w:color w:val="000000" w:themeColor="text1"/>
        </w:rPr>
        <w:t>本次募集资金投资项目将围绕公司主营业务展开，有助于提升公司的核心竞争力、持续盈利能力和抗风险能力，符合公司及公司全体股东的利益。本次募集资金投资项目完成后，公司主营业务范围不会发生变更，公司目前没有业务及资产的重大整合计划。若公司未来对主营业务及资产进行整合，将根据相关法律、法规、规章及规范性文件的规定，另行履行审批程序和信息披露义务。</w:t>
      </w:r>
    </w:p>
    <w:p w:rsidR="003C3FCD" w:rsidRDefault="00343C0E">
      <w:pPr>
        <w:pStyle w:val="3"/>
        <w:spacing w:before="120" w:after="120" w:line="360" w:lineRule="auto"/>
        <w:ind w:firstLineChars="200" w:firstLine="482"/>
        <w:rPr>
          <w:rFonts w:cs="Times New Roman"/>
          <w:color w:val="000000" w:themeColor="text1"/>
          <w:sz w:val="24"/>
        </w:rPr>
      </w:pPr>
      <w:bookmarkStart w:id="25" w:name="_bookmark55"/>
      <w:bookmarkStart w:id="26" w:name="_Toc140187585"/>
      <w:bookmarkEnd w:id="25"/>
      <w:r>
        <w:rPr>
          <w:rFonts w:cs="Times New Roman"/>
          <w:color w:val="000000" w:themeColor="text1"/>
          <w:sz w:val="24"/>
        </w:rPr>
        <w:t>（二）本次发行对公司章程的影响</w:t>
      </w:r>
      <w:bookmarkEnd w:id="26"/>
    </w:p>
    <w:p w:rsidR="003C3FCD" w:rsidRDefault="00343C0E">
      <w:pPr>
        <w:autoSpaceDE w:val="0"/>
        <w:autoSpaceDN w:val="0"/>
        <w:adjustRightInd w:val="0"/>
        <w:snapToGrid w:val="0"/>
        <w:spacing w:beforeLines="50" w:before="163" w:afterLines="50" w:after="163" w:line="360" w:lineRule="auto"/>
        <w:ind w:firstLineChars="200" w:firstLine="480"/>
        <w:textAlignment w:val="baseline"/>
        <w:rPr>
          <w:rFonts w:cs="Times New Roman"/>
          <w:color w:val="000000" w:themeColor="text1"/>
        </w:rPr>
      </w:pPr>
      <w:r>
        <w:rPr>
          <w:rFonts w:cs="Times New Roman"/>
          <w:color w:val="000000" w:themeColor="text1"/>
        </w:rPr>
        <w:t>本次发行完成后，公司将根据本次发行的实际结果对公司章程中的股本和股本结构进行相应修改，并办理工商变更登记。</w:t>
      </w:r>
    </w:p>
    <w:p w:rsidR="003C3FCD" w:rsidRDefault="00343C0E">
      <w:pPr>
        <w:pStyle w:val="3"/>
        <w:spacing w:before="120" w:after="120" w:line="360" w:lineRule="auto"/>
        <w:ind w:firstLineChars="200" w:firstLine="482"/>
        <w:rPr>
          <w:rFonts w:cs="Times New Roman"/>
          <w:color w:val="000000" w:themeColor="text1"/>
          <w:sz w:val="24"/>
        </w:rPr>
      </w:pPr>
      <w:bookmarkStart w:id="27" w:name="_bookmark56"/>
      <w:bookmarkStart w:id="28" w:name="_Toc140187586"/>
      <w:bookmarkEnd w:id="27"/>
      <w:r>
        <w:rPr>
          <w:rFonts w:cs="Times New Roman"/>
          <w:color w:val="000000" w:themeColor="text1"/>
          <w:sz w:val="24"/>
        </w:rPr>
        <w:t>（三）本次发行对股东结构的影响</w:t>
      </w:r>
      <w:bookmarkEnd w:id="28"/>
    </w:p>
    <w:p w:rsidR="003C3FCD" w:rsidRDefault="00343C0E">
      <w:pPr>
        <w:autoSpaceDE w:val="0"/>
        <w:autoSpaceDN w:val="0"/>
        <w:adjustRightInd w:val="0"/>
        <w:snapToGrid w:val="0"/>
        <w:spacing w:beforeLines="50" w:before="163" w:afterLines="50" w:after="163" w:line="360" w:lineRule="auto"/>
        <w:ind w:firstLineChars="200" w:firstLine="480"/>
        <w:textAlignment w:val="baseline"/>
        <w:rPr>
          <w:rFonts w:cs="Times New Roman"/>
          <w:color w:val="000000" w:themeColor="text1"/>
        </w:rPr>
      </w:pPr>
      <w:r>
        <w:rPr>
          <w:rFonts w:cs="Times New Roman"/>
          <w:color w:val="000000" w:themeColor="text1"/>
        </w:rPr>
        <w:t>截至本预案披露日，兴津公司持有公司</w:t>
      </w:r>
      <w:r>
        <w:rPr>
          <w:rFonts w:cs="Times New Roman"/>
          <w:color w:val="000000" w:themeColor="text1"/>
        </w:rPr>
        <w:t>22.46%</w:t>
      </w:r>
      <w:r>
        <w:rPr>
          <w:rFonts w:cs="Times New Roman"/>
          <w:color w:val="000000" w:themeColor="text1"/>
        </w:rPr>
        <w:t>的股份，水</w:t>
      </w:r>
      <w:proofErr w:type="gramStart"/>
      <w:r>
        <w:rPr>
          <w:rFonts w:cs="Times New Roman"/>
          <w:color w:val="000000" w:themeColor="text1"/>
        </w:rPr>
        <w:t>务</w:t>
      </w:r>
      <w:proofErr w:type="gramEnd"/>
      <w:r>
        <w:rPr>
          <w:rFonts w:cs="Times New Roman"/>
          <w:color w:val="000000" w:themeColor="text1"/>
        </w:rPr>
        <w:t>集团持有公司</w:t>
      </w:r>
      <w:r>
        <w:rPr>
          <w:rFonts w:cs="Times New Roman"/>
          <w:color w:val="000000" w:themeColor="text1"/>
        </w:rPr>
        <w:t>13.01%</w:t>
      </w:r>
      <w:r>
        <w:rPr>
          <w:rFonts w:cs="Times New Roman"/>
          <w:color w:val="000000" w:themeColor="text1"/>
        </w:rPr>
        <w:t>的股份，两者</w:t>
      </w:r>
      <w:proofErr w:type="gramStart"/>
      <w:r>
        <w:rPr>
          <w:rFonts w:cs="Times New Roman"/>
          <w:color w:val="000000" w:themeColor="text1"/>
        </w:rPr>
        <w:t>系一致</w:t>
      </w:r>
      <w:proofErr w:type="gramEnd"/>
      <w:r>
        <w:rPr>
          <w:rFonts w:cs="Times New Roman"/>
          <w:color w:val="000000" w:themeColor="text1"/>
        </w:rPr>
        <w:t>行动人，合计持有公司</w:t>
      </w:r>
      <w:r>
        <w:rPr>
          <w:rFonts w:cs="Times New Roman"/>
          <w:color w:val="000000" w:themeColor="text1"/>
        </w:rPr>
        <w:t>35.47%</w:t>
      </w:r>
      <w:r>
        <w:rPr>
          <w:rFonts w:cs="Times New Roman"/>
          <w:color w:val="000000" w:themeColor="text1"/>
        </w:rPr>
        <w:t>的股份。公司实际控制人为天津市国资委。</w:t>
      </w:r>
    </w:p>
    <w:p w:rsidR="003C3FCD" w:rsidRDefault="00343C0E">
      <w:pPr>
        <w:autoSpaceDE w:val="0"/>
        <w:autoSpaceDN w:val="0"/>
        <w:adjustRightInd w:val="0"/>
        <w:snapToGrid w:val="0"/>
        <w:spacing w:beforeLines="50" w:before="163" w:afterLines="50" w:after="163" w:line="360" w:lineRule="auto"/>
        <w:ind w:firstLineChars="200" w:firstLine="480"/>
        <w:textAlignment w:val="baseline"/>
        <w:rPr>
          <w:rFonts w:cs="Times New Roman"/>
          <w:color w:val="000000" w:themeColor="text1"/>
        </w:rPr>
      </w:pPr>
      <w:r>
        <w:rPr>
          <w:rFonts w:cs="Times New Roman"/>
          <w:color w:val="000000" w:themeColor="text1"/>
        </w:rPr>
        <w:t>本次向不特定对象发行</w:t>
      </w:r>
      <w:r>
        <w:rPr>
          <w:rFonts w:cs="Times New Roman"/>
          <w:color w:val="000000" w:themeColor="text1"/>
        </w:rPr>
        <w:t>A</w:t>
      </w:r>
      <w:r>
        <w:rPr>
          <w:rFonts w:cs="Times New Roman"/>
          <w:color w:val="000000" w:themeColor="text1"/>
        </w:rPr>
        <w:t>股股票数量不超过</w:t>
      </w:r>
      <w:r>
        <w:rPr>
          <w:rFonts w:cs="Times New Roman"/>
          <w:color w:val="000000" w:themeColor="text1"/>
        </w:rPr>
        <w:t>50,505,050</w:t>
      </w:r>
      <w:r>
        <w:rPr>
          <w:rFonts w:cs="Times New Roman"/>
          <w:color w:val="000000" w:themeColor="text1"/>
        </w:rPr>
        <w:t>股（含本数），未超过本次发行前上市公司总股本</w:t>
      </w:r>
      <w:r>
        <w:rPr>
          <w:rFonts w:cs="Times New Roman"/>
          <w:color w:val="000000" w:themeColor="text1"/>
        </w:rPr>
        <w:t>30%</w:t>
      </w:r>
      <w:r>
        <w:rPr>
          <w:rFonts w:cs="Times New Roman"/>
          <w:color w:val="000000" w:themeColor="text1"/>
        </w:rPr>
        <w:t>。按发行数量上限计算，本次发行完成后，兴津公司持股比例将变更为</w:t>
      </w:r>
      <w:r>
        <w:rPr>
          <w:rFonts w:cs="Times New Roman"/>
          <w:color w:val="000000" w:themeColor="text1"/>
        </w:rPr>
        <w:t>19.64%</w:t>
      </w:r>
      <w:r>
        <w:rPr>
          <w:rFonts w:cs="Times New Roman"/>
          <w:color w:val="000000" w:themeColor="text1"/>
        </w:rPr>
        <w:t>，水</w:t>
      </w:r>
      <w:proofErr w:type="gramStart"/>
      <w:r>
        <w:rPr>
          <w:rFonts w:cs="Times New Roman"/>
          <w:color w:val="000000" w:themeColor="text1"/>
        </w:rPr>
        <w:t>务</w:t>
      </w:r>
      <w:proofErr w:type="gramEnd"/>
      <w:r>
        <w:rPr>
          <w:rFonts w:cs="Times New Roman"/>
          <w:color w:val="000000" w:themeColor="text1"/>
        </w:rPr>
        <w:t>集团持股比例将变更为</w:t>
      </w:r>
      <w:r>
        <w:rPr>
          <w:rFonts w:cs="Times New Roman"/>
          <w:color w:val="000000" w:themeColor="text1"/>
        </w:rPr>
        <w:t>11.38%</w:t>
      </w:r>
      <w:r>
        <w:rPr>
          <w:rFonts w:cs="Times New Roman"/>
          <w:color w:val="000000" w:themeColor="text1"/>
        </w:rPr>
        <w:t>，两者合计持股比例将变更为</w:t>
      </w:r>
      <w:r>
        <w:rPr>
          <w:rFonts w:cs="Times New Roman"/>
          <w:color w:val="000000" w:themeColor="text1"/>
        </w:rPr>
        <w:t>31.02%</w:t>
      </w:r>
      <w:r>
        <w:rPr>
          <w:rFonts w:cs="Times New Roman"/>
          <w:color w:val="000000" w:themeColor="text1"/>
        </w:rPr>
        <w:t>，本次发行完成后，兴津公司和水务集团合计持股比例仍高于其他股东，天津市国资委仍为实际控制人，不会导致公司</w:t>
      </w:r>
      <w:bookmarkStart w:id="29" w:name="_bookmark57"/>
      <w:bookmarkEnd w:id="29"/>
      <w:r>
        <w:rPr>
          <w:rFonts w:cs="Times New Roman"/>
          <w:color w:val="000000" w:themeColor="text1"/>
        </w:rPr>
        <w:t>实际控制权发生变化。</w:t>
      </w:r>
    </w:p>
    <w:p w:rsidR="003C3FCD" w:rsidRDefault="00343C0E">
      <w:pPr>
        <w:pStyle w:val="3"/>
        <w:spacing w:before="120" w:after="120" w:line="360" w:lineRule="auto"/>
        <w:ind w:firstLineChars="200" w:firstLine="482"/>
        <w:rPr>
          <w:rFonts w:cs="Times New Roman"/>
          <w:color w:val="000000" w:themeColor="text1"/>
          <w:sz w:val="24"/>
        </w:rPr>
      </w:pPr>
      <w:bookmarkStart w:id="30" w:name="_Toc140187587"/>
      <w:r>
        <w:rPr>
          <w:rFonts w:cs="Times New Roman"/>
          <w:color w:val="000000" w:themeColor="text1"/>
          <w:sz w:val="24"/>
        </w:rPr>
        <w:t>（四）本次发行对高管人员结构的影响</w:t>
      </w:r>
      <w:bookmarkEnd w:id="30"/>
    </w:p>
    <w:p w:rsidR="003C3FCD" w:rsidRDefault="00343C0E">
      <w:pPr>
        <w:autoSpaceDE w:val="0"/>
        <w:autoSpaceDN w:val="0"/>
        <w:adjustRightInd w:val="0"/>
        <w:snapToGrid w:val="0"/>
        <w:spacing w:beforeLines="50" w:before="163" w:afterLines="50" w:after="163" w:line="360" w:lineRule="auto"/>
        <w:ind w:firstLineChars="200" w:firstLine="480"/>
        <w:textAlignment w:val="baseline"/>
        <w:rPr>
          <w:rFonts w:cs="Times New Roman"/>
          <w:color w:val="000000" w:themeColor="text1"/>
        </w:rPr>
      </w:pPr>
      <w:r>
        <w:rPr>
          <w:rFonts w:cs="Times New Roman"/>
          <w:color w:val="000000" w:themeColor="text1"/>
        </w:rPr>
        <w:t>截至本预案披露日，公司尚无对高管人员结构进行调整的计划。本次发行不</w:t>
      </w:r>
      <w:r>
        <w:rPr>
          <w:rFonts w:cs="Times New Roman"/>
          <w:color w:val="000000" w:themeColor="text1"/>
        </w:rPr>
        <w:lastRenderedPageBreak/>
        <w:t>会对高管人员结构造成重大影响。若公司拟调整高管人员结构，将根据有关规定，</w:t>
      </w:r>
      <w:bookmarkStart w:id="31" w:name="_bookmark58"/>
      <w:bookmarkEnd w:id="31"/>
      <w:r>
        <w:rPr>
          <w:rFonts w:cs="Times New Roman"/>
          <w:color w:val="000000" w:themeColor="text1"/>
        </w:rPr>
        <w:t>履行必要的法律程序和信息披露义务。</w:t>
      </w:r>
    </w:p>
    <w:p w:rsidR="003C3FCD" w:rsidRDefault="00343C0E">
      <w:pPr>
        <w:pStyle w:val="3"/>
        <w:spacing w:before="120" w:after="120" w:line="360" w:lineRule="auto"/>
        <w:ind w:firstLineChars="200" w:firstLine="482"/>
        <w:rPr>
          <w:rFonts w:cs="Times New Roman"/>
          <w:color w:val="000000" w:themeColor="text1"/>
          <w:sz w:val="24"/>
        </w:rPr>
      </w:pPr>
      <w:bookmarkStart w:id="32" w:name="_Toc140187588"/>
      <w:r>
        <w:rPr>
          <w:rFonts w:cs="Times New Roman"/>
          <w:color w:val="000000" w:themeColor="text1"/>
          <w:sz w:val="24"/>
        </w:rPr>
        <w:t>（五）本次发行完成后，对公司上市地位的影响</w:t>
      </w:r>
      <w:bookmarkEnd w:id="32"/>
    </w:p>
    <w:p w:rsidR="003C3FCD" w:rsidRDefault="00343C0E">
      <w:pPr>
        <w:autoSpaceDE w:val="0"/>
        <w:autoSpaceDN w:val="0"/>
        <w:adjustRightInd w:val="0"/>
        <w:snapToGrid w:val="0"/>
        <w:spacing w:beforeLines="50" w:before="163" w:afterLines="50" w:after="163" w:line="360" w:lineRule="auto"/>
        <w:ind w:firstLineChars="200" w:firstLine="480"/>
        <w:textAlignment w:val="baseline"/>
        <w:rPr>
          <w:rFonts w:cs="Times New Roman"/>
          <w:color w:val="000000" w:themeColor="text1"/>
        </w:rPr>
      </w:pPr>
      <w:r>
        <w:rPr>
          <w:rFonts w:cs="Times New Roman"/>
          <w:color w:val="000000" w:themeColor="text1"/>
        </w:rPr>
        <w:t>本次发行完成后，社会公众持有公司的股份占总股本的比例不低于</w:t>
      </w:r>
      <w:r>
        <w:rPr>
          <w:rFonts w:cs="Times New Roman"/>
          <w:color w:val="000000" w:themeColor="text1"/>
        </w:rPr>
        <w:t>25%</w:t>
      </w:r>
      <w:r>
        <w:rPr>
          <w:rFonts w:cs="Times New Roman"/>
          <w:color w:val="000000" w:themeColor="text1"/>
        </w:rPr>
        <w:t>，符合《公司法》《证券法》以及《深圳证券交易所股票上市规则》等法律法规规定的股票上市条件，不会导致股权分布不具备上市条件的情形。</w:t>
      </w:r>
    </w:p>
    <w:p w:rsidR="003C3FCD" w:rsidRDefault="00343C0E">
      <w:pPr>
        <w:pStyle w:val="3"/>
        <w:spacing w:before="120" w:after="120" w:line="360" w:lineRule="auto"/>
        <w:ind w:firstLineChars="200" w:firstLine="482"/>
        <w:rPr>
          <w:rFonts w:cs="Times New Roman"/>
          <w:color w:val="000000" w:themeColor="text1"/>
          <w:sz w:val="24"/>
        </w:rPr>
      </w:pPr>
      <w:bookmarkStart w:id="33" w:name="_bookmark59"/>
      <w:bookmarkStart w:id="34" w:name="_Toc140187589"/>
      <w:bookmarkEnd w:id="33"/>
      <w:r>
        <w:rPr>
          <w:rFonts w:cs="Times New Roman"/>
          <w:color w:val="000000" w:themeColor="text1"/>
          <w:sz w:val="24"/>
        </w:rPr>
        <w:t>（六）本次发行对业务结构的影响</w:t>
      </w:r>
      <w:bookmarkEnd w:id="34"/>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本次募集资金到位后，公司业务结构在短期内不会发生重大变动。随着募集资金投资项目的逐步完成，公司业务规模将不断扩大，进一步优化公司的业务结</w:t>
      </w:r>
      <w:bookmarkStart w:id="35" w:name="_bookmark60"/>
      <w:bookmarkEnd w:id="35"/>
      <w:r>
        <w:rPr>
          <w:rFonts w:cs="Times New Roman"/>
          <w:color w:val="000000" w:themeColor="text1"/>
        </w:rPr>
        <w:t>构、财务结构，全面提高公司的市场竞争能力和盈利能力。</w:t>
      </w:r>
    </w:p>
    <w:p w:rsidR="003C3FCD" w:rsidRDefault="00343C0E">
      <w:pPr>
        <w:pStyle w:val="2"/>
        <w:spacing w:before="120" w:after="120" w:line="360" w:lineRule="auto"/>
        <w:rPr>
          <w:rFonts w:ascii="Times New Roman" w:eastAsia="黑体" w:hAnsi="Times New Roman" w:cs="Times New Roman"/>
          <w:color w:val="000000" w:themeColor="text1"/>
          <w:sz w:val="28"/>
        </w:rPr>
      </w:pPr>
      <w:bookmarkStart w:id="36" w:name="_Toc146198223"/>
      <w:r>
        <w:rPr>
          <w:rFonts w:ascii="Times New Roman" w:eastAsia="黑体" w:hAnsi="Times New Roman" w:cs="Times New Roman"/>
          <w:color w:val="000000" w:themeColor="text1"/>
          <w:sz w:val="28"/>
        </w:rPr>
        <w:t>二、本次发行后公司财务状况、盈利能力和现金流量的变动情况</w:t>
      </w:r>
      <w:bookmarkEnd w:id="36"/>
      <w:r>
        <w:rPr>
          <w:rFonts w:ascii="Times New Roman" w:eastAsia="黑体" w:hAnsi="Times New Roman" w:cs="Times New Roman"/>
          <w:color w:val="000000" w:themeColor="text1"/>
          <w:sz w:val="28"/>
        </w:rPr>
        <w:tab/>
      </w:r>
    </w:p>
    <w:p w:rsidR="003C3FCD" w:rsidRDefault="00343C0E">
      <w:pPr>
        <w:pStyle w:val="3"/>
        <w:spacing w:before="120" w:after="120" w:line="360" w:lineRule="auto"/>
        <w:ind w:firstLineChars="200" w:firstLine="482"/>
        <w:rPr>
          <w:rFonts w:cs="Times New Roman"/>
          <w:color w:val="000000" w:themeColor="text1"/>
          <w:sz w:val="24"/>
        </w:rPr>
      </w:pPr>
      <w:bookmarkStart w:id="37" w:name="_Toc140187591"/>
      <w:r>
        <w:rPr>
          <w:rFonts w:cs="Times New Roman"/>
          <w:color w:val="000000" w:themeColor="text1"/>
          <w:sz w:val="24"/>
        </w:rPr>
        <w:t>（一）本次发行对公司财务状况的影响</w:t>
      </w:r>
      <w:bookmarkEnd w:id="37"/>
    </w:p>
    <w:p w:rsidR="003C3FCD" w:rsidRDefault="00343C0E">
      <w:pPr>
        <w:autoSpaceDE w:val="0"/>
        <w:autoSpaceDN w:val="0"/>
        <w:adjustRightInd w:val="0"/>
        <w:snapToGrid w:val="0"/>
        <w:spacing w:beforeLines="50" w:before="163" w:afterLines="50" w:after="163" w:line="360" w:lineRule="auto"/>
        <w:ind w:firstLineChars="200" w:firstLine="480"/>
        <w:textAlignment w:val="baseline"/>
        <w:rPr>
          <w:rFonts w:cs="Times New Roman"/>
          <w:color w:val="000000" w:themeColor="text1"/>
        </w:rPr>
      </w:pPr>
      <w:r>
        <w:rPr>
          <w:rFonts w:cs="Times New Roman"/>
          <w:color w:val="000000" w:themeColor="text1"/>
        </w:rPr>
        <w:t>本次发行完成后，公司的总资产及净资产规模均有所提高，资金实力将得到增强。同时，公司主营业务的盈利能力也将得以加强，公司总体现金流状况将得到进一步优化，从而为公司后续发展提供有力保障。</w:t>
      </w:r>
    </w:p>
    <w:p w:rsidR="003C3FCD" w:rsidRDefault="00343C0E">
      <w:pPr>
        <w:pStyle w:val="3"/>
        <w:spacing w:before="120" w:after="120" w:line="360" w:lineRule="auto"/>
        <w:ind w:firstLineChars="200" w:firstLine="482"/>
        <w:rPr>
          <w:rFonts w:cs="Times New Roman"/>
          <w:color w:val="000000" w:themeColor="text1"/>
          <w:sz w:val="24"/>
        </w:rPr>
      </w:pPr>
      <w:bookmarkStart w:id="38" w:name="_Toc140187592"/>
      <w:r>
        <w:rPr>
          <w:rFonts w:cs="Times New Roman"/>
          <w:color w:val="000000" w:themeColor="text1"/>
          <w:sz w:val="24"/>
        </w:rPr>
        <w:t>（二）本次发行对公司盈利能力的影响</w:t>
      </w:r>
      <w:bookmarkEnd w:id="38"/>
    </w:p>
    <w:p w:rsidR="003C3FCD" w:rsidRDefault="00343C0E">
      <w:pPr>
        <w:autoSpaceDE w:val="0"/>
        <w:autoSpaceDN w:val="0"/>
        <w:adjustRightInd w:val="0"/>
        <w:snapToGrid w:val="0"/>
        <w:spacing w:beforeLines="50" w:before="163" w:afterLines="50" w:after="163" w:line="360" w:lineRule="auto"/>
        <w:ind w:firstLineChars="200" w:firstLine="480"/>
        <w:textAlignment w:val="baseline"/>
        <w:rPr>
          <w:rFonts w:cs="Times New Roman"/>
          <w:color w:val="000000" w:themeColor="text1"/>
        </w:rPr>
      </w:pPr>
      <w:r>
        <w:rPr>
          <w:rFonts w:cs="Times New Roman"/>
          <w:color w:val="000000" w:themeColor="text1"/>
        </w:rPr>
        <w:t>本次募集资金到位后，公司总股本和净资产均将大幅度增长。如果募集资金投资项目无法在短期内产生经济效益，公司的每股收益等财务指标在短期内可能出现一定幅度的下降。但从长期来看，募集资金投资项目具有良好的市场前景和经济效益，将有助于公司提升市场竞争力，提高公司盈利能</w:t>
      </w:r>
      <w:bookmarkStart w:id="39" w:name="_bookmark63"/>
      <w:bookmarkEnd w:id="39"/>
      <w:r>
        <w:rPr>
          <w:rFonts w:cs="Times New Roman"/>
          <w:color w:val="000000" w:themeColor="text1"/>
        </w:rPr>
        <w:t>力。</w:t>
      </w:r>
    </w:p>
    <w:p w:rsidR="003C3FCD" w:rsidRDefault="00343C0E">
      <w:pPr>
        <w:pStyle w:val="3"/>
        <w:spacing w:before="120" w:after="120" w:line="360" w:lineRule="auto"/>
        <w:ind w:firstLineChars="200" w:firstLine="482"/>
        <w:rPr>
          <w:rFonts w:cs="Times New Roman"/>
          <w:color w:val="000000" w:themeColor="text1"/>
          <w:sz w:val="24"/>
        </w:rPr>
      </w:pPr>
      <w:bookmarkStart w:id="40" w:name="_Toc140187593"/>
      <w:r>
        <w:rPr>
          <w:rFonts w:cs="Times New Roman"/>
          <w:color w:val="000000" w:themeColor="text1"/>
          <w:sz w:val="24"/>
        </w:rPr>
        <w:t>（三）本次发行对公司现金流量的影响</w:t>
      </w:r>
      <w:bookmarkEnd w:id="40"/>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本次发行完成后，公司筹资活动现金流入将会大幅增加，募集资金投资项目建设期间，公司投资活动现金流出将大幅增加。随着项目建成并投产后产生效益，未来的经营活动现金流入将会得以增加，从而进一步改善公司的现金流量状况。</w:t>
      </w:r>
    </w:p>
    <w:p w:rsidR="003C3FCD" w:rsidRDefault="00343C0E">
      <w:pPr>
        <w:pStyle w:val="2"/>
        <w:spacing w:before="120" w:after="120" w:line="360" w:lineRule="auto"/>
        <w:rPr>
          <w:rFonts w:ascii="Times New Roman" w:eastAsia="黑体" w:hAnsi="Times New Roman" w:cs="Times New Roman"/>
          <w:color w:val="000000" w:themeColor="text1"/>
          <w:sz w:val="28"/>
        </w:rPr>
      </w:pPr>
      <w:bookmarkStart w:id="41" w:name="_Toc146198224"/>
      <w:r>
        <w:rPr>
          <w:rFonts w:ascii="Times New Roman" w:eastAsia="黑体" w:hAnsi="Times New Roman" w:cs="Times New Roman"/>
          <w:color w:val="000000" w:themeColor="text1"/>
          <w:sz w:val="28"/>
        </w:rPr>
        <w:lastRenderedPageBreak/>
        <w:t>三、本次发行后公司与控股股东及其关联人之间关系的变化情况</w:t>
      </w:r>
      <w:bookmarkEnd w:id="41"/>
      <w:r>
        <w:rPr>
          <w:rFonts w:ascii="Times New Roman" w:eastAsia="黑体" w:hAnsi="Times New Roman" w:cs="Times New Roman"/>
          <w:color w:val="000000" w:themeColor="text1"/>
          <w:sz w:val="28"/>
        </w:rPr>
        <w:tab/>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本次发行完成前后，公司与控股股东、实际控制人及其关联人之间的业务关系、管理关系均不会发生变化。</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截至本预案披露日，水务集团持有公司</w:t>
      </w:r>
      <w:r>
        <w:rPr>
          <w:rFonts w:cs="Times New Roman"/>
          <w:color w:val="000000" w:themeColor="text1"/>
        </w:rPr>
        <w:t>13.01%</w:t>
      </w:r>
      <w:r>
        <w:rPr>
          <w:rFonts w:cs="Times New Roman"/>
          <w:color w:val="000000" w:themeColor="text1"/>
        </w:rPr>
        <w:t>的股份，与公司控股股东兴津公司</w:t>
      </w:r>
      <w:proofErr w:type="gramStart"/>
      <w:r>
        <w:rPr>
          <w:rFonts w:cs="Times New Roman"/>
          <w:color w:val="000000" w:themeColor="text1"/>
        </w:rPr>
        <w:t>系一致</w:t>
      </w:r>
      <w:proofErr w:type="gramEnd"/>
      <w:r>
        <w:rPr>
          <w:rFonts w:cs="Times New Roman"/>
          <w:color w:val="000000" w:themeColor="text1"/>
        </w:rPr>
        <w:t>行动人。水务集团与公司的主营业务存在一定的业务重合，存在同业竞争或潜在同业竞争。针对该等情况，水务集团于</w:t>
      </w:r>
      <w:r>
        <w:rPr>
          <w:rFonts w:cs="Times New Roman"/>
          <w:color w:val="000000" w:themeColor="text1"/>
        </w:rPr>
        <w:t>2022</w:t>
      </w:r>
      <w:r>
        <w:rPr>
          <w:rFonts w:cs="Times New Roman"/>
          <w:color w:val="000000" w:themeColor="text1"/>
        </w:rPr>
        <w:t>年</w:t>
      </w:r>
      <w:r>
        <w:rPr>
          <w:rFonts w:cs="Times New Roman"/>
          <w:color w:val="000000" w:themeColor="text1"/>
        </w:rPr>
        <w:t>6</w:t>
      </w:r>
      <w:r>
        <w:rPr>
          <w:rFonts w:cs="Times New Roman"/>
          <w:color w:val="000000" w:themeColor="text1"/>
        </w:rPr>
        <w:t>月就避免同业竞争问题承诺如下：</w:t>
      </w:r>
    </w:p>
    <w:p w:rsidR="003C3FCD" w:rsidRPr="00EA669B" w:rsidRDefault="00343C0E">
      <w:pPr>
        <w:spacing w:beforeLines="50" w:before="163" w:afterLines="50" w:after="163" w:line="360" w:lineRule="auto"/>
        <w:ind w:firstLineChars="200" w:firstLine="480"/>
        <w:rPr>
          <w:rFonts w:ascii="宋体" w:hAnsi="宋体" w:cs="宋体"/>
          <w:color w:val="000000" w:themeColor="text1"/>
        </w:rPr>
      </w:pPr>
      <w:r w:rsidRPr="00EA669B">
        <w:rPr>
          <w:rFonts w:ascii="宋体" w:hAnsi="宋体" w:cs="宋体" w:hint="eastAsia"/>
          <w:color w:val="000000" w:themeColor="text1"/>
        </w:rPr>
        <w:t>“（1）在符合相关法律、法规规定的前提下，将按市场发展情况，在不影响其他股东利益的情况下，通过将水务集团区域内水</w:t>
      </w:r>
      <w:proofErr w:type="gramStart"/>
      <w:r w:rsidRPr="00EA669B">
        <w:rPr>
          <w:rFonts w:ascii="宋体" w:hAnsi="宋体" w:cs="宋体" w:hint="eastAsia"/>
          <w:color w:val="000000" w:themeColor="text1"/>
        </w:rPr>
        <w:t>务</w:t>
      </w:r>
      <w:proofErr w:type="gramEnd"/>
      <w:r w:rsidRPr="00EA669B">
        <w:rPr>
          <w:rFonts w:ascii="宋体" w:hAnsi="宋体" w:cs="宋体" w:hint="eastAsia"/>
          <w:color w:val="000000" w:themeColor="text1"/>
        </w:rPr>
        <w:t>资源进一步划分和整理，细分业务市场，梳理和优化业务结构；并在本次并购的股份过户完成之日起三年内，采取包括但不限于相关符合条件的资产注入上市公司、剥离或对外转让等方式解决本公司和渤海股份的同业竞争问题。</w:t>
      </w:r>
    </w:p>
    <w:p w:rsidR="003C3FCD" w:rsidRPr="00EA669B" w:rsidRDefault="00343C0E">
      <w:pPr>
        <w:spacing w:beforeLines="50" w:before="163" w:afterLines="50" w:after="163" w:line="360" w:lineRule="auto"/>
        <w:ind w:firstLineChars="200" w:firstLine="480"/>
        <w:rPr>
          <w:rFonts w:ascii="宋体" w:hAnsi="宋体" w:cs="宋体"/>
          <w:color w:val="000000" w:themeColor="text1"/>
        </w:rPr>
      </w:pPr>
      <w:r w:rsidRPr="00EA669B">
        <w:rPr>
          <w:rFonts w:ascii="宋体" w:hAnsi="宋体" w:cs="宋体" w:hint="eastAsia"/>
          <w:color w:val="000000" w:themeColor="text1"/>
        </w:rPr>
        <w:t>（2）在过渡期内，本公司承诺不利用股东地位损害渤海股份的利益。对于因政策调整、市场变化等客观原因确实不能履行或需要</w:t>
      </w:r>
      <w:proofErr w:type="gramStart"/>
      <w:r w:rsidRPr="00EA669B">
        <w:rPr>
          <w:rFonts w:ascii="宋体" w:hAnsi="宋体" w:cs="宋体" w:hint="eastAsia"/>
          <w:color w:val="000000" w:themeColor="text1"/>
        </w:rPr>
        <w:t>作出</w:t>
      </w:r>
      <w:proofErr w:type="gramEnd"/>
      <w:r w:rsidRPr="00EA669B">
        <w:rPr>
          <w:rFonts w:ascii="宋体" w:hAnsi="宋体" w:cs="宋体" w:hint="eastAsia"/>
          <w:color w:val="000000" w:themeColor="text1"/>
        </w:rPr>
        <w:t>调整的，本公司与渤海股份将提前向市场公开做好解释说明，充分披露需调整或未履行的原因，并提出相应处置措施。”</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上述同业竞争系国有资产整合原因产生，本次募集资金继续投向公司原有业务，不属于新增同业竞争情形。</w:t>
      </w:r>
    </w:p>
    <w:p w:rsidR="003C3FCD" w:rsidRDefault="00343C0E">
      <w:pPr>
        <w:pStyle w:val="a9"/>
        <w:shd w:val="clear" w:color="auto" w:fill="FFFFFF"/>
        <w:spacing w:before="156" w:beforeAutospacing="0" w:after="156" w:afterAutospacing="0" w:line="360" w:lineRule="auto"/>
        <w:ind w:firstLineChars="200" w:firstLine="480"/>
        <w:jc w:val="both"/>
        <w:rPr>
          <w:color w:val="000000" w:themeColor="text1"/>
        </w:rPr>
      </w:pPr>
      <w:r>
        <w:rPr>
          <w:color w:val="303133"/>
          <w:shd w:val="clear" w:color="auto" w:fill="FFFFFF"/>
        </w:rPr>
        <w:t>随着</w:t>
      </w:r>
      <w:proofErr w:type="gramStart"/>
      <w:r>
        <w:rPr>
          <w:color w:val="303133"/>
          <w:shd w:val="clear" w:color="auto" w:fill="FFFFFF"/>
        </w:rPr>
        <w:t>募投项目</w:t>
      </w:r>
      <w:proofErr w:type="gramEnd"/>
      <w:r>
        <w:rPr>
          <w:color w:val="303133"/>
          <w:shd w:val="clear" w:color="auto" w:fill="FFFFFF"/>
        </w:rPr>
        <w:t>的实施，公司预计将增加对关联方水务集团的采购量，</w:t>
      </w:r>
      <w:r>
        <w:t>公司将根据《公司章程》《关联交易管理制度》等相关制度的规定，就相关新增关联交易履行必要的关联交易审批程序，并履行相关的信息披露义务。</w:t>
      </w:r>
    </w:p>
    <w:p w:rsidR="003C3FCD" w:rsidRDefault="00343C0E">
      <w:pPr>
        <w:pStyle w:val="2"/>
        <w:spacing w:before="120" w:after="120" w:line="360" w:lineRule="auto"/>
        <w:rPr>
          <w:rFonts w:ascii="Times New Roman" w:eastAsia="黑体" w:hAnsi="Times New Roman" w:cs="Times New Roman"/>
          <w:color w:val="000000" w:themeColor="text1"/>
          <w:sz w:val="28"/>
        </w:rPr>
      </w:pPr>
      <w:bookmarkStart w:id="42" w:name="_Toc146198225"/>
      <w:r>
        <w:rPr>
          <w:rFonts w:ascii="Times New Roman" w:eastAsia="黑体" w:hAnsi="Times New Roman" w:cs="Times New Roman"/>
          <w:color w:val="000000" w:themeColor="text1"/>
          <w:sz w:val="28"/>
        </w:rPr>
        <w:t>四、本次发行后公司资金、资产占用及担保情形</w:t>
      </w:r>
      <w:bookmarkEnd w:id="42"/>
      <w:r>
        <w:rPr>
          <w:rFonts w:ascii="Times New Roman" w:eastAsia="黑体" w:hAnsi="Times New Roman" w:cs="Times New Roman"/>
          <w:color w:val="000000" w:themeColor="text1"/>
          <w:sz w:val="28"/>
        </w:rPr>
        <w:tab/>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本次发行完成后，公司不会因本次发行股票存在资金、资产被控股股东、实际控制人及其关联人占用的情形，亦不会因本次发行存在为控股股东、实际控制人及其关联人提供担保的情形。</w:t>
      </w:r>
    </w:p>
    <w:p w:rsidR="003C3FCD" w:rsidRDefault="00343C0E">
      <w:pPr>
        <w:pStyle w:val="2"/>
        <w:spacing w:before="120" w:after="120" w:line="360" w:lineRule="auto"/>
        <w:rPr>
          <w:rFonts w:ascii="Times New Roman" w:eastAsia="黑体" w:hAnsi="Times New Roman" w:cs="Times New Roman"/>
          <w:color w:val="000000" w:themeColor="text1"/>
          <w:sz w:val="28"/>
        </w:rPr>
      </w:pPr>
      <w:bookmarkStart w:id="43" w:name="_Toc146198226"/>
      <w:r>
        <w:rPr>
          <w:rFonts w:ascii="Times New Roman" w:eastAsia="黑体" w:hAnsi="Times New Roman" w:cs="Times New Roman"/>
          <w:color w:val="000000" w:themeColor="text1"/>
          <w:sz w:val="28"/>
        </w:rPr>
        <w:lastRenderedPageBreak/>
        <w:t>五、本次发行后公司负债水平的变化情况</w:t>
      </w:r>
      <w:bookmarkEnd w:id="43"/>
      <w:r>
        <w:rPr>
          <w:rFonts w:ascii="Times New Roman" w:eastAsia="黑体" w:hAnsi="Times New Roman" w:cs="Times New Roman"/>
          <w:color w:val="000000" w:themeColor="text1"/>
          <w:sz w:val="28"/>
        </w:rPr>
        <w:tab/>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本次发行将提升公司的资产规模，有助于降低公司资产负债率，公司资产负债结构将更加稳健，公司经营抗风险能力将得到进一步加强。公司不存在通过本次发行大量增加负债（包括或有负债）的情况，也不存在财务结构不合理的情况。</w:t>
      </w:r>
    </w:p>
    <w:p w:rsidR="003C3FCD" w:rsidRDefault="00343C0E">
      <w:pPr>
        <w:pStyle w:val="2"/>
        <w:spacing w:before="120" w:after="120" w:line="360" w:lineRule="auto"/>
        <w:rPr>
          <w:rFonts w:ascii="Times New Roman" w:eastAsia="黑体" w:hAnsi="Times New Roman" w:cs="Times New Roman"/>
          <w:color w:val="000000" w:themeColor="text1"/>
          <w:sz w:val="28"/>
        </w:rPr>
      </w:pPr>
      <w:bookmarkStart w:id="44" w:name="_Toc146198227"/>
      <w:r>
        <w:rPr>
          <w:rFonts w:ascii="Times New Roman" w:eastAsia="黑体" w:hAnsi="Times New Roman" w:cs="Times New Roman"/>
          <w:color w:val="000000" w:themeColor="text1"/>
          <w:sz w:val="28"/>
        </w:rPr>
        <w:t>六、本次股票发行相关的风险说明</w:t>
      </w:r>
      <w:bookmarkEnd w:id="44"/>
      <w:r>
        <w:rPr>
          <w:rFonts w:ascii="Times New Roman" w:eastAsia="黑体" w:hAnsi="Times New Roman" w:cs="Times New Roman"/>
          <w:color w:val="000000" w:themeColor="text1"/>
          <w:sz w:val="28"/>
        </w:rPr>
        <w:tab/>
      </w:r>
    </w:p>
    <w:p w:rsidR="003C3FCD" w:rsidRDefault="00343C0E">
      <w:pPr>
        <w:spacing w:beforeLines="50" w:before="163" w:afterLines="50" w:after="163" w:line="360" w:lineRule="auto"/>
        <w:ind w:firstLineChars="200" w:firstLine="480"/>
        <w:rPr>
          <w:rFonts w:cs="Times New Roman"/>
          <w:bCs/>
          <w:color w:val="000000" w:themeColor="text1"/>
        </w:rPr>
      </w:pPr>
      <w:r>
        <w:rPr>
          <w:rFonts w:cs="Times New Roman"/>
          <w:bCs/>
          <w:color w:val="000000" w:themeColor="text1"/>
        </w:rPr>
        <w:t>投资者在评价公司本次发行股票时，除本预案提供的其他各项资料外，应特别认真考虑下述各项风险因素：</w:t>
      </w:r>
    </w:p>
    <w:p w:rsidR="003C3FCD" w:rsidRDefault="00343C0E">
      <w:pPr>
        <w:pStyle w:val="3"/>
        <w:spacing w:before="120" w:after="120" w:line="360" w:lineRule="auto"/>
        <w:ind w:firstLineChars="200" w:firstLine="482"/>
        <w:rPr>
          <w:rFonts w:cs="Times New Roman"/>
          <w:color w:val="000000" w:themeColor="text1"/>
          <w:sz w:val="24"/>
        </w:rPr>
      </w:pPr>
      <w:r>
        <w:rPr>
          <w:rFonts w:cs="Times New Roman"/>
          <w:color w:val="000000" w:themeColor="text1"/>
          <w:sz w:val="24"/>
        </w:rPr>
        <w:t>（一）宏观经济及行业政策风险</w:t>
      </w:r>
    </w:p>
    <w:p w:rsidR="003C3FCD" w:rsidRDefault="00343C0E">
      <w:pPr>
        <w:spacing w:beforeLines="50" w:before="163" w:afterLines="50" w:after="163" w:line="360" w:lineRule="auto"/>
        <w:ind w:firstLineChars="200" w:firstLine="482"/>
        <w:rPr>
          <w:rFonts w:cs="Times New Roman"/>
          <w:b/>
          <w:color w:val="000000" w:themeColor="text1"/>
        </w:rPr>
      </w:pPr>
      <w:r>
        <w:rPr>
          <w:rFonts w:cs="Times New Roman"/>
          <w:b/>
          <w:color w:val="000000" w:themeColor="text1"/>
        </w:rPr>
        <w:t>1</w:t>
      </w:r>
      <w:r>
        <w:rPr>
          <w:rFonts w:cs="Times New Roman"/>
          <w:b/>
          <w:color w:val="000000" w:themeColor="text1"/>
        </w:rPr>
        <w:t>、宏观经济波动风险</w:t>
      </w:r>
    </w:p>
    <w:p w:rsidR="003C3FCD" w:rsidRDefault="00343C0E">
      <w:pPr>
        <w:spacing w:beforeLines="50" w:before="163" w:afterLines="50" w:after="163" w:line="360" w:lineRule="auto"/>
        <w:ind w:firstLineChars="200" w:firstLine="480"/>
        <w:rPr>
          <w:rFonts w:cs="Times New Roman"/>
          <w:color w:val="000000" w:themeColor="text1"/>
          <w:szCs w:val="24"/>
        </w:rPr>
      </w:pPr>
      <w:r>
        <w:rPr>
          <w:rFonts w:cs="Times New Roman"/>
          <w:color w:val="000000" w:themeColor="text1"/>
          <w:szCs w:val="24"/>
        </w:rPr>
        <w:t>经济发展具有周期性，经济周期的变化将影响城市用水的需求。公司原水与自来水供应量最主要受两类用户的影响，一类为居民用户，另一类为工、商业用户。工、商业用水量与经济周期和地方经济的景气程度成正相关，即经济高峰需求量相对较大，经济不景气则需求量相对减小。如未来宏观经济出现滞涨甚至下滑，客户用水量需求减少，公司原水与自来水业务将可能受到不利影响。</w:t>
      </w:r>
    </w:p>
    <w:p w:rsidR="003C3FCD" w:rsidRDefault="00343C0E">
      <w:pPr>
        <w:spacing w:beforeLines="50" w:before="163" w:afterLines="50" w:after="163" w:line="360" w:lineRule="auto"/>
        <w:ind w:firstLineChars="200" w:firstLine="482"/>
        <w:rPr>
          <w:rFonts w:cs="Times New Roman"/>
          <w:b/>
          <w:color w:val="000000" w:themeColor="text1"/>
        </w:rPr>
      </w:pPr>
      <w:r>
        <w:rPr>
          <w:rFonts w:cs="Times New Roman"/>
          <w:b/>
          <w:color w:val="000000" w:themeColor="text1"/>
        </w:rPr>
        <w:t>2</w:t>
      </w:r>
      <w:r>
        <w:rPr>
          <w:rFonts w:cs="Times New Roman"/>
          <w:b/>
          <w:color w:val="000000" w:themeColor="text1"/>
        </w:rPr>
        <w:t>、行业技术标准调整的风险</w:t>
      </w:r>
    </w:p>
    <w:p w:rsidR="003C3FCD" w:rsidRDefault="00343C0E">
      <w:pPr>
        <w:spacing w:beforeLines="50" w:before="163" w:afterLines="50" w:after="163" w:line="360" w:lineRule="auto"/>
        <w:ind w:firstLineChars="200" w:firstLine="480"/>
        <w:rPr>
          <w:rFonts w:cs="Times New Roman"/>
          <w:bCs/>
          <w:color w:val="000000" w:themeColor="text1"/>
        </w:rPr>
      </w:pPr>
      <w:r>
        <w:rPr>
          <w:rFonts w:cs="Times New Roman"/>
          <w:bCs/>
          <w:color w:val="000000" w:themeColor="text1"/>
        </w:rPr>
        <w:t>目前我国自来水行业的整体技术标准尚未达到国际发达国家的水平，但随着经济的发展和人民生活水平的提高，人们对自来水质量要求也将越来越高，国家可能逐步提高自来水质量标准。如果国家提高自来水的水质标准，则公司将面临产业技术升级和增加技术改造投资的风险。</w:t>
      </w:r>
    </w:p>
    <w:p w:rsidR="003C3FCD" w:rsidRDefault="00343C0E">
      <w:pPr>
        <w:spacing w:beforeLines="50" w:before="163" w:afterLines="50" w:after="163" w:line="360" w:lineRule="auto"/>
        <w:ind w:firstLineChars="200" w:firstLine="482"/>
        <w:rPr>
          <w:rFonts w:cs="Times New Roman"/>
          <w:b/>
          <w:color w:val="000000" w:themeColor="text1"/>
        </w:rPr>
      </w:pPr>
      <w:r>
        <w:rPr>
          <w:rFonts w:cs="Times New Roman"/>
          <w:b/>
          <w:color w:val="000000" w:themeColor="text1"/>
        </w:rPr>
        <w:t>3</w:t>
      </w:r>
      <w:r>
        <w:rPr>
          <w:rFonts w:cs="Times New Roman"/>
          <w:b/>
          <w:color w:val="000000" w:themeColor="text1"/>
        </w:rPr>
        <w:t>、价格调整受限的风险</w:t>
      </w:r>
    </w:p>
    <w:p w:rsidR="003C3FCD" w:rsidRDefault="00343C0E">
      <w:pPr>
        <w:spacing w:beforeLines="50" w:before="163" w:afterLines="50" w:after="163" w:line="360" w:lineRule="auto"/>
        <w:ind w:firstLineChars="200" w:firstLine="480"/>
        <w:rPr>
          <w:rFonts w:cs="Times New Roman"/>
          <w:bCs/>
          <w:color w:val="000000" w:themeColor="text1"/>
        </w:rPr>
      </w:pPr>
      <w:r>
        <w:rPr>
          <w:rFonts w:cs="Times New Roman"/>
          <w:bCs/>
          <w:color w:val="000000" w:themeColor="text1"/>
        </w:rPr>
        <w:t>用水、取暖关乎民生大计。我国各地政府对供水、供热行业的运营保持着较强的监管，其中，供水、供热的定价机制是重要体现。公司主营的供水、供热业务的价格均是由所在地政府依据国家相关法律法规确定的原则和流程制定。所在地政府在制定相关价格时，依据企业的经营情况，按照补偿成本、合理利润的原</w:t>
      </w:r>
      <w:r>
        <w:rPr>
          <w:rFonts w:cs="Times New Roman"/>
          <w:bCs/>
          <w:color w:val="000000" w:themeColor="text1"/>
        </w:rPr>
        <w:lastRenderedPageBreak/>
        <w:t>则基础上，确定和执行相关价格。同时相关价格的调整，也须依据相关法律和国家政策组织制定和批准。</w:t>
      </w:r>
    </w:p>
    <w:p w:rsidR="003C3FCD" w:rsidRDefault="00343C0E">
      <w:pPr>
        <w:spacing w:beforeLines="50" w:before="163" w:afterLines="50" w:after="163" w:line="360" w:lineRule="auto"/>
        <w:ind w:firstLineChars="200" w:firstLine="480"/>
        <w:rPr>
          <w:rFonts w:cs="Times New Roman"/>
          <w:bCs/>
          <w:color w:val="000000" w:themeColor="text1"/>
        </w:rPr>
      </w:pPr>
      <w:r>
        <w:rPr>
          <w:rFonts w:cs="Times New Roman"/>
          <w:bCs/>
          <w:color w:val="000000" w:themeColor="text1"/>
        </w:rPr>
        <w:t>因此，在社会物价水平上扬而导致运营成本大幅增加的情况下，公司提出的调价申请可能存在无法获取所在地政府相关部门审批同意的风险。</w:t>
      </w:r>
    </w:p>
    <w:p w:rsidR="003C3FCD" w:rsidRDefault="00343C0E">
      <w:pPr>
        <w:pStyle w:val="3"/>
        <w:spacing w:before="120" w:after="120" w:line="360" w:lineRule="auto"/>
        <w:ind w:firstLineChars="200" w:firstLine="482"/>
        <w:rPr>
          <w:rFonts w:cs="Times New Roman"/>
          <w:color w:val="000000" w:themeColor="text1"/>
          <w:sz w:val="24"/>
        </w:rPr>
      </w:pPr>
      <w:r>
        <w:rPr>
          <w:rFonts w:cs="Times New Roman"/>
          <w:color w:val="000000" w:themeColor="text1"/>
          <w:sz w:val="24"/>
        </w:rPr>
        <w:t>（二）经营管理风险</w:t>
      </w:r>
    </w:p>
    <w:p w:rsidR="003C3FCD" w:rsidRDefault="00343C0E">
      <w:pPr>
        <w:spacing w:beforeLines="50" w:before="163" w:afterLines="50" w:after="163" w:line="360" w:lineRule="auto"/>
        <w:ind w:firstLineChars="200" w:firstLine="480"/>
        <w:rPr>
          <w:rFonts w:cs="Times New Roman"/>
          <w:bCs/>
          <w:color w:val="000000" w:themeColor="text1"/>
        </w:rPr>
      </w:pPr>
      <w:r>
        <w:rPr>
          <w:rFonts w:cs="Times New Roman"/>
          <w:bCs/>
          <w:color w:val="000000" w:themeColor="text1"/>
        </w:rPr>
        <w:t>近年来，公司业务不断扩张，子公司数量不断增多，从而对公司的管理能力、人才资源、组织架构等提出更高的要求，一定程度上增加了公司的管理与运营难度。如公司管理层的业务素质及管理水平不能适应公司经营规模快速扩大的需求，或者公司组织模式和管理制度未能随着公司经营规模的扩大而及时调整与完善，将给公司带来一定的管理风险。</w:t>
      </w:r>
    </w:p>
    <w:p w:rsidR="003C3FCD" w:rsidRDefault="00343C0E">
      <w:pPr>
        <w:pStyle w:val="3"/>
        <w:spacing w:before="120" w:after="120" w:line="360" w:lineRule="auto"/>
        <w:ind w:firstLineChars="200" w:firstLine="482"/>
        <w:rPr>
          <w:rFonts w:cs="Times New Roman"/>
          <w:color w:val="000000" w:themeColor="text1"/>
          <w:sz w:val="24"/>
        </w:rPr>
      </w:pPr>
      <w:r>
        <w:rPr>
          <w:rFonts w:cs="Times New Roman"/>
          <w:color w:val="000000" w:themeColor="text1"/>
          <w:sz w:val="24"/>
        </w:rPr>
        <w:t>（三）财务风险</w:t>
      </w:r>
    </w:p>
    <w:p w:rsidR="003C3FCD" w:rsidRDefault="00343C0E">
      <w:pPr>
        <w:spacing w:beforeLines="50" w:before="163" w:afterLines="50" w:after="163" w:line="360" w:lineRule="auto"/>
        <w:ind w:firstLineChars="200" w:firstLine="482"/>
        <w:rPr>
          <w:rFonts w:cs="Times New Roman"/>
          <w:b/>
          <w:color w:val="000000" w:themeColor="text1"/>
        </w:rPr>
      </w:pPr>
      <w:r>
        <w:rPr>
          <w:rFonts w:cs="Times New Roman"/>
          <w:b/>
          <w:color w:val="000000" w:themeColor="text1"/>
        </w:rPr>
        <w:t>1</w:t>
      </w:r>
      <w:r>
        <w:rPr>
          <w:rFonts w:cs="Times New Roman"/>
          <w:b/>
          <w:color w:val="000000" w:themeColor="text1"/>
        </w:rPr>
        <w:t>、资产负债率相对较高的风险</w:t>
      </w:r>
    </w:p>
    <w:p w:rsidR="003C3FCD" w:rsidRDefault="00343C0E">
      <w:pPr>
        <w:spacing w:beforeLines="50" w:before="163" w:afterLines="50" w:after="163" w:line="360" w:lineRule="auto"/>
        <w:ind w:firstLineChars="200" w:firstLine="480"/>
        <w:rPr>
          <w:rFonts w:cs="Times New Roman"/>
          <w:bCs/>
          <w:color w:val="000000" w:themeColor="text1"/>
        </w:rPr>
      </w:pPr>
      <w:r>
        <w:rPr>
          <w:rFonts w:cs="Times New Roman"/>
          <w:bCs/>
          <w:color w:val="000000" w:themeColor="text1"/>
        </w:rPr>
        <w:t>近年来，公司的资产负债率相对偏高，本次非公开发行股票完成后，随着募集资金到位，公司的净资产将大幅度增加，公司资产负债率偏高问题将得到一定程度缓解。但随着公司未来发展规模的进一步扩张，公司负债水平若不能保持在合理的范围内，公司将面临一定的财务风险。</w:t>
      </w:r>
    </w:p>
    <w:p w:rsidR="003C3FCD" w:rsidRDefault="00343C0E">
      <w:pPr>
        <w:spacing w:beforeLines="50" w:before="163" w:afterLines="50" w:after="163" w:line="360" w:lineRule="auto"/>
        <w:ind w:firstLineChars="200" w:firstLine="482"/>
        <w:rPr>
          <w:rFonts w:cs="Times New Roman"/>
          <w:b/>
          <w:color w:val="000000" w:themeColor="text1"/>
        </w:rPr>
      </w:pPr>
      <w:r>
        <w:rPr>
          <w:rFonts w:cs="Times New Roman"/>
          <w:b/>
          <w:color w:val="000000" w:themeColor="text1"/>
        </w:rPr>
        <w:t>2</w:t>
      </w:r>
      <w:r>
        <w:rPr>
          <w:rFonts w:cs="Times New Roman"/>
          <w:b/>
          <w:color w:val="000000" w:themeColor="text1"/>
        </w:rPr>
        <w:t>、每股收益等盈利指标被摊薄的风险</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bCs/>
          <w:color w:val="000000" w:themeColor="text1"/>
        </w:rPr>
        <w:t>本次发行募集资金到位后，公司净资产规模和股本数量将有所提高，而短期内公司利润增长幅度将小于净资产和股本数量的增长幅度，存在每股收益等盈利指标下降的风险。</w:t>
      </w:r>
    </w:p>
    <w:p w:rsidR="003C3FCD" w:rsidRDefault="00343C0E">
      <w:pPr>
        <w:pStyle w:val="3"/>
        <w:spacing w:before="120" w:after="120" w:line="360" w:lineRule="auto"/>
        <w:ind w:firstLineChars="200" w:firstLine="482"/>
        <w:rPr>
          <w:rFonts w:cs="Times New Roman"/>
          <w:color w:val="000000" w:themeColor="text1"/>
          <w:sz w:val="24"/>
        </w:rPr>
      </w:pPr>
      <w:r>
        <w:rPr>
          <w:rFonts w:cs="Times New Roman"/>
          <w:color w:val="000000" w:themeColor="text1"/>
          <w:sz w:val="24"/>
        </w:rPr>
        <w:t>（四）募集资金投资项目相关风险</w:t>
      </w:r>
    </w:p>
    <w:p w:rsidR="003C3FCD" w:rsidRDefault="00343C0E">
      <w:pPr>
        <w:spacing w:beforeLines="50" w:before="163" w:afterLines="50" w:after="163" w:line="360" w:lineRule="auto"/>
        <w:ind w:firstLineChars="200" w:firstLine="482"/>
        <w:rPr>
          <w:rFonts w:cs="Times New Roman"/>
          <w:b/>
          <w:color w:val="000000" w:themeColor="text1"/>
        </w:rPr>
      </w:pPr>
      <w:r>
        <w:rPr>
          <w:rFonts w:cs="Times New Roman"/>
          <w:b/>
          <w:color w:val="000000" w:themeColor="text1"/>
        </w:rPr>
        <w:t>1</w:t>
      </w:r>
      <w:r>
        <w:rPr>
          <w:rFonts w:cs="Times New Roman"/>
          <w:b/>
          <w:color w:val="000000" w:themeColor="text1"/>
        </w:rPr>
        <w:t>、募集资金投资项目实施风险</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本次募集资金投资项目为宝坻新城第二水厂工程（一期）项目，募集资金投资项目经过了慎重、充分的可行性研究论证。若本次募集资金投资项目在建设过</w:t>
      </w:r>
      <w:r>
        <w:rPr>
          <w:rFonts w:cs="Times New Roman"/>
          <w:color w:val="000000" w:themeColor="text1"/>
        </w:rPr>
        <w:lastRenderedPageBreak/>
        <w:t>程、未来经营中，出现因当地政府监管、宏观政策等方面带来的不利变化，均可能导致本次募集资金投资项目的实施进度不及预期。</w:t>
      </w:r>
    </w:p>
    <w:p w:rsidR="003C3FCD" w:rsidRDefault="00343C0E">
      <w:pPr>
        <w:spacing w:beforeLines="50" w:before="163" w:afterLines="50" w:after="163" w:line="360" w:lineRule="auto"/>
        <w:ind w:firstLineChars="200" w:firstLine="482"/>
        <w:rPr>
          <w:rFonts w:cs="Times New Roman"/>
          <w:b/>
          <w:color w:val="000000" w:themeColor="text1"/>
        </w:rPr>
      </w:pPr>
      <w:r>
        <w:rPr>
          <w:rFonts w:cs="Times New Roman"/>
          <w:b/>
          <w:color w:val="000000" w:themeColor="text1"/>
        </w:rPr>
        <w:t>2</w:t>
      </w:r>
      <w:r>
        <w:rPr>
          <w:rFonts w:cs="Times New Roman"/>
          <w:b/>
          <w:color w:val="000000" w:themeColor="text1"/>
        </w:rPr>
        <w:t>、募集资金投资项目未能达到预期收益的风险</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本次募集资金投资项目拟用于宝坻新城第二水厂工程（一期）项目，项目实施后每年摊销金额将有所增加。尽管公司已对募集资金投资项目进行了严密的论证，但如果</w:t>
      </w:r>
      <w:proofErr w:type="gramStart"/>
      <w:r>
        <w:rPr>
          <w:rFonts w:cs="Times New Roman"/>
          <w:color w:val="000000" w:themeColor="text1"/>
        </w:rPr>
        <w:t>募投项目</w:t>
      </w:r>
      <w:proofErr w:type="gramEnd"/>
      <w:r>
        <w:rPr>
          <w:rFonts w:cs="Times New Roman"/>
          <w:color w:val="000000" w:themeColor="text1"/>
        </w:rPr>
        <w:t>实施效果不如预期理想，在摊销金额增加的同时，无法实现预期的经济效益，将对公司的经营业绩造成不利影响。</w:t>
      </w:r>
    </w:p>
    <w:p w:rsidR="003C3FCD" w:rsidRDefault="00343C0E">
      <w:pPr>
        <w:pStyle w:val="3"/>
        <w:spacing w:before="120" w:after="120" w:line="360" w:lineRule="auto"/>
        <w:ind w:firstLineChars="200" w:firstLine="482"/>
        <w:rPr>
          <w:rFonts w:cs="Times New Roman"/>
          <w:color w:val="000000" w:themeColor="text1"/>
          <w:sz w:val="24"/>
        </w:rPr>
      </w:pPr>
      <w:r>
        <w:rPr>
          <w:rFonts w:cs="Times New Roman"/>
          <w:color w:val="000000" w:themeColor="text1"/>
          <w:sz w:val="24"/>
        </w:rPr>
        <w:t>（五）本次发行相关风险</w:t>
      </w:r>
    </w:p>
    <w:p w:rsidR="003C3FCD" w:rsidRDefault="00343C0E">
      <w:pPr>
        <w:spacing w:beforeLines="50" w:before="163" w:afterLines="50" w:after="163" w:line="360" w:lineRule="auto"/>
        <w:ind w:firstLineChars="200" w:firstLine="482"/>
        <w:rPr>
          <w:rFonts w:cs="Times New Roman"/>
          <w:b/>
          <w:color w:val="000000" w:themeColor="text1"/>
        </w:rPr>
      </w:pPr>
      <w:r>
        <w:rPr>
          <w:rFonts w:cs="Times New Roman"/>
          <w:b/>
          <w:color w:val="000000" w:themeColor="text1"/>
        </w:rPr>
        <w:t>1</w:t>
      </w:r>
      <w:r>
        <w:rPr>
          <w:rFonts w:cs="Times New Roman"/>
          <w:b/>
          <w:color w:val="000000" w:themeColor="text1"/>
        </w:rPr>
        <w:t>、审批和发行风险</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本次发行尚需取得深圳证券交易所审核通过并获得中国证监会同意注册。本次发行能否取得上述审核通过或同意注册，以及通过审核或注册的时间均存在不确定性。本次发行的发行对象为不超过</w:t>
      </w:r>
      <w:r>
        <w:rPr>
          <w:rFonts w:cs="Times New Roman"/>
          <w:color w:val="000000" w:themeColor="text1"/>
        </w:rPr>
        <w:t>35</w:t>
      </w:r>
      <w:r>
        <w:rPr>
          <w:rFonts w:cs="Times New Roman"/>
          <w:color w:val="000000" w:themeColor="text1"/>
        </w:rPr>
        <w:t>名（含</w:t>
      </w:r>
      <w:r>
        <w:rPr>
          <w:rFonts w:cs="Times New Roman"/>
          <w:color w:val="000000" w:themeColor="text1"/>
        </w:rPr>
        <w:t>35</w:t>
      </w:r>
      <w:r>
        <w:rPr>
          <w:rFonts w:cs="Times New Roman"/>
          <w:color w:val="000000" w:themeColor="text1"/>
        </w:rPr>
        <w:t>名）的特定对象，且发行结果将受到宏观经济和行业发展情况、证券市场整体情况、公司股票价格走势、投资者对本次发行方案的认可程度等多种因素的影响。如届时公司价值未能获得市场认可，发行认购不足，公司将面临发行失败的风险。</w:t>
      </w:r>
    </w:p>
    <w:p w:rsidR="003C3FCD" w:rsidRDefault="00343C0E">
      <w:pPr>
        <w:spacing w:beforeLines="50" w:before="163" w:afterLines="50" w:after="163" w:line="360" w:lineRule="auto"/>
        <w:ind w:firstLineChars="200" w:firstLine="482"/>
        <w:rPr>
          <w:rFonts w:cs="Times New Roman"/>
          <w:b/>
          <w:color w:val="000000" w:themeColor="text1"/>
        </w:rPr>
      </w:pPr>
      <w:r>
        <w:rPr>
          <w:rFonts w:cs="Times New Roman"/>
          <w:b/>
          <w:color w:val="000000" w:themeColor="text1"/>
        </w:rPr>
        <w:t>2</w:t>
      </w:r>
      <w:r>
        <w:rPr>
          <w:rFonts w:cs="Times New Roman"/>
          <w:b/>
          <w:color w:val="000000" w:themeColor="text1"/>
        </w:rPr>
        <w:t>、股票市场波动的风险</w:t>
      </w:r>
    </w:p>
    <w:p w:rsidR="003C3FCD" w:rsidRDefault="00343C0E">
      <w:pPr>
        <w:spacing w:beforeLines="50" w:before="163" w:afterLines="50" w:after="163" w:line="360" w:lineRule="auto"/>
        <w:ind w:firstLineChars="200" w:firstLine="480"/>
        <w:rPr>
          <w:rFonts w:cs="Times New Roman"/>
          <w:bCs/>
          <w:color w:val="000000" w:themeColor="text1"/>
        </w:rPr>
      </w:pPr>
      <w:r>
        <w:rPr>
          <w:rFonts w:cs="Times New Roman"/>
          <w:bCs/>
          <w:color w:val="000000" w:themeColor="text1"/>
        </w:rPr>
        <w:t>股票投资本身具有一定的风险。股票价格不仅受公司财务状况、经营业绩和发展前景的影响，还受国家宏观经济政策调整、金融政策调控、股票市场投机行为、投资者心理预期等诸多因素的影响。公司本次向特定对象发行需要有关部门审批且需要一定的时间周期，在此期间公司二级市场股价存在若干不确定性，若股价表现低于预期，则投资者将面临遭受投资损失的风险。</w:t>
      </w:r>
    </w:p>
    <w:p w:rsidR="003C3FCD" w:rsidRDefault="003C3FCD">
      <w:pPr>
        <w:spacing w:beforeLines="50" w:before="163" w:afterLines="50" w:after="163" w:line="360" w:lineRule="auto"/>
        <w:rPr>
          <w:rFonts w:cs="Times New Roman"/>
          <w:color w:val="000000" w:themeColor="text1"/>
        </w:rPr>
      </w:pPr>
    </w:p>
    <w:p w:rsidR="003C3FCD" w:rsidRDefault="00343C0E">
      <w:pPr>
        <w:widowControl/>
        <w:jc w:val="left"/>
        <w:rPr>
          <w:rFonts w:cs="Times New Roman"/>
          <w:color w:val="000000" w:themeColor="text1"/>
        </w:rPr>
      </w:pPr>
      <w:r>
        <w:rPr>
          <w:rFonts w:cs="Times New Roman"/>
          <w:color w:val="000000" w:themeColor="text1"/>
        </w:rPr>
        <w:br w:type="page"/>
      </w:r>
    </w:p>
    <w:p w:rsidR="003C3FCD" w:rsidRDefault="00343C0E">
      <w:pPr>
        <w:pStyle w:val="1"/>
        <w:jc w:val="center"/>
        <w:rPr>
          <w:rFonts w:cs="Times New Roman"/>
          <w:color w:val="000000" w:themeColor="text1"/>
          <w:sz w:val="32"/>
        </w:rPr>
      </w:pPr>
      <w:bookmarkStart w:id="45" w:name="_Toc146198228"/>
      <w:r>
        <w:rPr>
          <w:rFonts w:cs="Times New Roman"/>
          <w:color w:val="000000" w:themeColor="text1"/>
          <w:sz w:val="32"/>
        </w:rPr>
        <w:lastRenderedPageBreak/>
        <w:t>第四节</w:t>
      </w:r>
      <w:r>
        <w:rPr>
          <w:rFonts w:cs="Times New Roman"/>
          <w:color w:val="000000" w:themeColor="text1"/>
          <w:sz w:val="32"/>
        </w:rPr>
        <w:t xml:space="preserve"> </w:t>
      </w:r>
      <w:r>
        <w:rPr>
          <w:rFonts w:cs="Times New Roman"/>
          <w:color w:val="000000" w:themeColor="text1"/>
          <w:sz w:val="32"/>
        </w:rPr>
        <w:t>公司的利润分配政策及执行情况</w:t>
      </w:r>
      <w:bookmarkEnd w:id="45"/>
    </w:p>
    <w:p w:rsidR="003C3FCD" w:rsidRDefault="00343C0E">
      <w:pPr>
        <w:pStyle w:val="2"/>
        <w:spacing w:before="120" w:after="120" w:line="360" w:lineRule="auto"/>
        <w:rPr>
          <w:rFonts w:ascii="Times New Roman" w:eastAsia="黑体" w:hAnsi="Times New Roman" w:cs="Times New Roman"/>
          <w:color w:val="000000" w:themeColor="text1"/>
          <w:sz w:val="28"/>
        </w:rPr>
      </w:pPr>
      <w:bookmarkStart w:id="46" w:name="_Toc146198229"/>
      <w:r>
        <w:rPr>
          <w:rFonts w:ascii="Times New Roman" w:eastAsia="黑体" w:hAnsi="Times New Roman" w:cs="Times New Roman"/>
          <w:color w:val="000000" w:themeColor="text1"/>
          <w:sz w:val="28"/>
        </w:rPr>
        <w:t>一、公司利润分配政策</w:t>
      </w:r>
      <w:bookmarkEnd w:id="46"/>
      <w:r>
        <w:rPr>
          <w:rFonts w:ascii="Times New Roman" w:eastAsia="黑体" w:hAnsi="Times New Roman" w:cs="Times New Roman"/>
          <w:color w:val="000000" w:themeColor="text1"/>
          <w:sz w:val="28"/>
        </w:rPr>
        <w:tab/>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根据《公司法》《证券法》《关于进一步落实上市公司现金分红有关事项的通知》（证监发〔</w:t>
      </w:r>
      <w:r>
        <w:rPr>
          <w:rFonts w:cs="Times New Roman"/>
          <w:color w:val="000000" w:themeColor="text1"/>
        </w:rPr>
        <w:t>2012</w:t>
      </w:r>
      <w:r>
        <w:rPr>
          <w:rFonts w:cs="Times New Roman"/>
          <w:color w:val="000000" w:themeColor="text1"/>
        </w:rPr>
        <w:t>〕</w:t>
      </w:r>
      <w:r>
        <w:rPr>
          <w:rFonts w:cs="Times New Roman"/>
          <w:color w:val="000000" w:themeColor="text1"/>
        </w:rPr>
        <w:t>37</w:t>
      </w:r>
      <w:r>
        <w:rPr>
          <w:rFonts w:cs="Times New Roman"/>
          <w:color w:val="000000" w:themeColor="text1"/>
        </w:rPr>
        <w:t>号）《上市公司监管指引第</w:t>
      </w:r>
      <w:r>
        <w:rPr>
          <w:rFonts w:cs="Times New Roman"/>
          <w:color w:val="000000" w:themeColor="text1"/>
        </w:rPr>
        <w:t>3</w:t>
      </w:r>
      <w:r>
        <w:rPr>
          <w:rFonts w:cs="Times New Roman"/>
          <w:color w:val="000000" w:themeColor="text1"/>
        </w:rPr>
        <w:t>号</w:t>
      </w:r>
      <w:r>
        <w:rPr>
          <w:rFonts w:cs="Times New Roman"/>
          <w:color w:val="000000" w:themeColor="text1"/>
        </w:rPr>
        <w:t>—</w:t>
      </w:r>
      <w:r>
        <w:rPr>
          <w:rFonts w:cs="Times New Roman"/>
          <w:color w:val="000000" w:themeColor="text1"/>
        </w:rPr>
        <w:t>上市公司现金分红（</w:t>
      </w:r>
      <w:r>
        <w:rPr>
          <w:rFonts w:cs="Times New Roman"/>
          <w:color w:val="000000" w:themeColor="text1"/>
        </w:rPr>
        <w:t>2023</w:t>
      </w:r>
      <w:r>
        <w:rPr>
          <w:rFonts w:cs="Times New Roman"/>
          <w:color w:val="000000" w:themeColor="text1"/>
        </w:rPr>
        <w:t>年修订）》（证监会公告〔</w:t>
      </w:r>
      <w:r>
        <w:rPr>
          <w:rFonts w:cs="Times New Roman"/>
          <w:color w:val="000000" w:themeColor="text1"/>
        </w:rPr>
        <w:t>2023</w:t>
      </w:r>
      <w:r>
        <w:rPr>
          <w:rFonts w:cs="Times New Roman"/>
          <w:color w:val="000000" w:themeColor="text1"/>
        </w:rPr>
        <w:t>〕</w:t>
      </w:r>
      <w:r>
        <w:rPr>
          <w:rFonts w:cs="Times New Roman"/>
          <w:color w:val="000000" w:themeColor="text1"/>
        </w:rPr>
        <w:t>61</w:t>
      </w:r>
      <w:r>
        <w:rPr>
          <w:rFonts w:cs="Times New Roman"/>
          <w:color w:val="000000" w:themeColor="text1"/>
        </w:rPr>
        <w:t>号）等规定的相关要求，为规范公司利润分配行为，推动公司建立科学、持续、稳定的利润分配机制，公司现行的《公司章程》对公司利润分配政策如下：</w:t>
      </w:r>
    </w:p>
    <w:p w:rsidR="003C3FCD" w:rsidRDefault="00343C0E">
      <w:pPr>
        <w:spacing w:beforeLines="50" w:before="163" w:afterLines="50" w:after="163" w:line="360" w:lineRule="auto"/>
        <w:ind w:firstLine="480"/>
        <w:rPr>
          <w:rFonts w:cs="Times New Roman"/>
          <w:color w:val="000000" w:themeColor="text1"/>
        </w:rPr>
      </w:pPr>
      <w:r>
        <w:rPr>
          <w:rFonts w:cs="Times New Roman" w:hint="eastAsia"/>
          <w:color w:val="000000" w:themeColor="text1"/>
        </w:rPr>
        <w:t>“</w:t>
      </w:r>
      <w:r>
        <w:rPr>
          <w:rFonts w:cs="Times New Roman"/>
          <w:color w:val="000000" w:themeColor="text1"/>
        </w:rPr>
        <w:t>第一百六十条</w:t>
      </w:r>
      <w:r>
        <w:rPr>
          <w:rFonts w:cs="Times New Roman"/>
          <w:color w:val="000000" w:themeColor="text1"/>
        </w:rPr>
        <w:t xml:space="preserve"> </w:t>
      </w:r>
      <w:r>
        <w:rPr>
          <w:rFonts w:cs="Times New Roman"/>
          <w:color w:val="000000" w:themeColor="text1"/>
        </w:rPr>
        <w:t>（一）利润分配的基本原则</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1</w:t>
      </w:r>
      <w:r>
        <w:rPr>
          <w:rFonts w:cs="Times New Roman"/>
          <w:color w:val="000000" w:themeColor="text1"/>
        </w:rPr>
        <w:t>、公司实行连续稳定的利润分配政策，同时兼顾公司的长远利益、全体股东的整体利益及公司的可持续发展；</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2</w:t>
      </w:r>
      <w:r>
        <w:rPr>
          <w:rFonts w:cs="Times New Roman"/>
          <w:color w:val="000000" w:themeColor="text1"/>
        </w:rPr>
        <w:t>、公司如无重大投资计划或重大现金支出发生，在当年实现的归属于母公司可分配利润（即公司弥补亏损、提取公积金后所余的税后利润）为正值的情况下，优先采取现金方式分配股利；</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3</w:t>
      </w:r>
      <w:r>
        <w:rPr>
          <w:rFonts w:cs="Times New Roman"/>
          <w:color w:val="000000" w:themeColor="text1"/>
        </w:rPr>
        <w:t>、公司每年按当年实现的合并报表可供分配利润的规定比例向股东分配股利。</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（二）利润分配形式</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公司采取现金、股票或者现金与股票相结合的方式分配股利。</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（三）利润分配的期间间隔</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1</w:t>
      </w:r>
      <w:r>
        <w:rPr>
          <w:rFonts w:cs="Times New Roman"/>
          <w:color w:val="000000" w:themeColor="text1"/>
        </w:rPr>
        <w:t>、在公司当年盈利且公司累计未分配利润为正数的前提下，公司每年度至少进行一次利润分配。</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2</w:t>
      </w:r>
      <w:r>
        <w:rPr>
          <w:rFonts w:cs="Times New Roman"/>
          <w:color w:val="000000" w:themeColor="text1"/>
        </w:rPr>
        <w:t>、公司可以进行中期现金分红。公司董事会可以根据公司当期的盈利规模、现金流状况、发展阶段及资金需求状况，提议公司进行中期分红。</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（四）利润分配的条件</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lastRenderedPageBreak/>
        <w:t>1</w:t>
      </w:r>
      <w:r>
        <w:rPr>
          <w:rFonts w:cs="Times New Roman"/>
          <w:color w:val="000000" w:themeColor="text1"/>
        </w:rPr>
        <w:t>、现金分红的具体条件和比例在保证公司能够持续经营和长期发展的前提下，除特殊情况外，公司采取现金方式分配股利，每年以现金方式分配的利润不少于当年实现的合并报表可供分配利润的</w:t>
      </w:r>
      <w:r>
        <w:rPr>
          <w:rFonts w:cs="Times New Roman"/>
          <w:color w:val="000000" w:themeColor="text1"/>
        </w:rPr>
        <w:t>10%</w:t>
      </w:r>
      <w:r>
        <w:rPr>
          <w:rFonts w:cs="Times New Roman"/>
          <w:color w:val="000000" w:themeColor="text1"/>
        </w:rPr>
        <w:t>，且最近三年以现金方式累计分配的利润不少于最近三年实现的合并报表年均可分配利润的</w:t>
      </w:r>
      <w:r>
        <w:rPr>
          <w:rFonts w:cs="Times New Roman"/>
          <w:color w:val="000000" w:themeColor="text1"/>
        </w:rPr>
        <w:t>30%</w:t>
      </w:r>
      <w:r>
        <w:rPr>
          <w:rFonts w:cs="Times New Roman"/>
          <w:color w:val="000000" w:themeColor="text1"/>
        </w:rPr>
        <w:t>，具体每个年度的分红比例由董事会根据公司年度盈利状况和未来资金使用计划提出预案。</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特殊情况是指：</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w:t>
      </w:r>
      <w:r>
        <w:rPr>
          <w:rFonts w:cs="Times New Roman"/>
          <w:color w:val="000000" w:themeColor="text1"/>
        </w:rPr>
        <w:t>1</w:t>
      </w:r>
      <w:r>
        <w:rPr>
          <w:rFonts w:cs="Times New Roman"/>
          <w:color w:val="000000" w:themeColor="text1"/>
        </w:rPr>
        <w:t>）审计机构对公司的该年度财务报告出具了非标准无保留意见的审计报告；</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w:t>
      </w:r>
      <w:r>
        <w:rPr>
          <w:rFonts w:cs="Times New Roman"/>
          <w:color w:val="000000" w:themeColor="text1"/>
        </w:rPr>
        <w:t>2</w:t>
      </w:r>
      <w:r>
        <w:rPr>
          <w:rFonts w:cs="Times New Roman"/>
          <w:color w:val="000000" w:themeColor="text1"/>
        </w:rPr>
        <w:t>）公司有重大投资计划或重大现金支出等事项发生（募集资金项目除外），即指公司未来十二个月内</w:t>
      </w:r>
      <w:proofErr w:type="gramStart"/>
      <w:r>
        <w:rPr>
          <w:rFonts w:cs="Times New Roman"/>
          <w:color w:val="000000" w:themeColor="text1"/>
        </w:rPr>
        <w:t>拟对外</w:t>
      </w:r>
      <w:proofErr w:type="gramEnd"/>
      <w:r>
        <w:rPr>
          <w:rFonts w:cs="Times New Roman"/>
          <w:color w:val="000000" w:themeColor="text1"/>
        </w:rPr>
        <w:t>投资、购买资产等交易累计支出达到或超过公司最近一期经审计净资产</w:t>
      </w:r>
      <w:r>
        <w:rPr>
          <w:rFonts w:cs="Times New Roman"/>
          <w:color w:val="000000" w:themeColor="text1"/>
        </w:rPr>
        <w:t>50%</w:t>
      </w:r>
      <w:r>
        <w:rPr>
          <w:rFonts w:cs="Times New Roman"/>
          <w:color w:val="000000" w:themeColor="text1"/>
        </w:rPr>
        <w:t>；</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公司应当综合考虑所处行业特点、发展阶段、自身经营模式、盈利水平以及是否有重大资金支出安排等因素，区分下列情形，并按照公司章程规定的程序，提出差异化的现金分红政策：</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w:t>
      </w:r>
      <w:r>
        <w:rPr>
          <w:rFonts w:cs="Times New Roman"/>
          <w:color w:val="000000" w:themeColor="text1"/>
        </w:rPr>
        <w:t>1</w:t>
      </w:r>
      <w:r>
        <w:rPr>
          <w:rFonts w:cs="Times New Roman"/>
          <w:color w:val="000000" w:themeColor="text1"/>
        </w:rPr>
        <w:t>）公司发展阶段属成熟期且无重大资金支出安排的，进行利润分配时，现金分红在本次利润分配中所占比例最低应达到</w:t>
      </w:r>
      <w:r>
        <w:rPr>
          <w:rFonts w:cs="Times New Roman"/>
          <w:color w:val="000000" w:themeColor="text1"/>
        </w:rPr>
        <w:t>80%</w:t>
      </w:r>
      <w:r>
        <w:rPr>
          <w:rFonts w:cs="Times New Roman"/>
          <w:color w:val="000000" w:themeColor="text1"/>
        </w:rPr>
        <w:t>；</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w:t>
      </w:r>
      <w:r>
        <w:rPr>
          <w:rFonts w:cs="Times New Roman"/>
          <w:color w:val="000000" w:themeColor="text1"/>
        </w:rPr>
        <w:t>2</w:t>
      </w:r>
      <w:r>
        <w:rPr>
          <w:rFonts w:cs="Times New Roman"/>
          <w:color w:val="000000" w:themeColor="text1"/>
        </w:rPr>
        <w:t>）公司发展阶段属成熟期且有重大资金支出安排的，进行利润分配时，现金分红在本次利润分配中所占比例最低应达到</w:t>
      </w:r>
      <w:r>
        <w:rPr>
          <w:rFonts w:cs="Times New Roman"/>
          <w:color w:val="000000" w:themeColor="text1"/>
        </w:rPr>
        <w:t>40%</w:t>
      </w:r>
      <w:r>
        <w:rPr>
          <w:rFonts w:cs="Times New Roman"/>
          <w:color w:val="000000" w:themeColor="text1"/>
        </w:rPr>
        <w:t>；</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w:t>
      </w:r>
      <w:r>
        <w:rPr>
          <w:rFonts w:cs="Times New Roman"/>
          <w:color w:val="000000" w:themeColor="text1"/>
        </w:rPr>
        <w:t>3</w:t>
      </w:r>
      <w:r>
        <w:rPr>
          <w:rFonts w:cs="Times New Roman"/>
          <w:color w:val="000000" w:themeColor="text1"/>
        </w:rPr>
        <w:t>）公司发展阶段属成长期且有重大资金支出安排的，进行利润分配时，现金分红在本次利润分配中所占比例最低应达到</w:t>
      </w:r>
      <w:r>
        <w:rPr>
          <w:rFonts w:cs="Times New Roman"/>
          <w:color w:val="000000" w:themeColor="text1"/>
        </w:rPr>
        <w:t>20%</w:t>
      </w:r>
      <w:r>
        <w:rPr>
          <w:rFonts w:cs="Times New Roman"/>
          <w:color w:val="000000" w:themeColor="text1"/>
        </w:rPr>
        <w:t>；</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公司发展阶段不易区分但有重大资金支出安排的，可以按照前项规定处理。</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2</w:t>
      </w:r>
      <w:r>
        <w:rPr>
          <w:rFonts w:cs="Times New Roman"/>
          <w:color w:val="000000" w:themeColor="text1"/>
        </w:rPr>
        <w:t>、发放股票股利的条件</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在公司经营状况良好，且董事会认为公司每股收益、股票价格与公司股本规模、股本结构不匹配时，公司可以采取发放股票股利的方式分配利润。公司在确定以股票方式分配利润的具体金额时，应当充分考虑以股票方式分配利润后的总</w:t>
      </w:r>
      <w:r>
        <w:rPr>
          <w:rFonts w:cs="Times New Roman"/>
          <w:color w:val="000000" w:themeColor="text1"/>
        </w:rPr>
        <w:lastRenderedPageBreak/>
        <w:t>股本是否与公司目前的经营规模、盈利增长速度相适应，并考虑对未来债权融资成本的影响，以确保分配方案符合全体股东整体利益和长远利益。</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第一百六十一条</w:t>
      </w:r>
      <w:r>
        <w:rPr>
          <w:rFonts w:cs="Times New Roman"/>
          <w:color w:val="000000" w:themeColor="text1"/>
        </w:rPr>
        <w:t xml:space="preserve"> </w:t>
      </w:r>
      <w:r>
        <w:rPr>
          <w:rFonts w:cs="Times New Roman"/>
          <w:color w:val="000000" w:themeColor="text1"/>
        </w:rPr>
        <w:t>公司利润分配方案的决策程序和机制：</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（一）利润分配方案的研究论证程序和决策机制</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1</w:t>
      </w:r>
      <w:r>
        <w:rPr>
          <w:rFonts w:cs="Times New Roman"/>
          <w:color w:val="000000" w:themeColor="text1"/>
        </w:rPr>
        <w:t>、在定期报告公布前，公司管理层、董事会应当在充分考虑公司持续经营能力、保证正常生产经营及业务发展所需资金和重视对投资者的合理投资回报的前提下，研究论证利润分配预案。</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2</w:t>
      </w:r>
      <w:r>
        <w:rPr>
          <w:rFonts w:cs="Times New Roman"/>
          <w:color w:val="000000" w:themeColor="text1"/>
        </w:rPr>
        <w:t>、公司董事会拟定具体的利润分配预案时，应当遵守国家有关法律法规、部门规章、规范性文件和公司章程的规定。</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3</w:t>
      </w:r>
      <w:r>
        <w:rPr>
          <w:rFonts w:cs="Times New Roman"/>
          <w:color w:val="000000" w:themeColor="text1"/>
        </w:rPr>
        <w:t>、公司董事会在有关利润分配方案的决策和论证过程中，可以通过电话、传真、信函、电子邮件、公司网站上的投资者关系互动平台等方式，与独立董事、中小股东进行沟通和交流，充分听取独立董事和中小股东的意见和诉求，及时答复中小股东关心的问题。</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4</w:t>
      </w:r>
      <w:r>
        <w:rPr>
          <w:rFonts w:cs="Times New Roman"/>
          <w:color w:val="000000" w:themeColor="text1"/>
        </w:rPr>
        <w:t>、公司在上一会计年度实现盈利，但公司董事会在上一会计年度结束后未提出现金分红方案的，应当征询独立董事的意见，并在定期报告中披露未提出现金分红方案的原因、未用于分红的资金留存公司的用途。独立董事还应当对此发表独立意见并公开披露。对于报告期内盈利但未提出现金分红预案的，公司在召开股东大会时除现场会议外，还应向股东提供网络形式的投票平台。</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（二）利润分配方案的审议程序</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1</w:t>
      </w:r>
      <w:r>
        <w:rPr>
          <w:rFonts w:cs="Times New Roman"/>
          <w:color w:val="000000" w:themeColor="text1"/>
        </w:rPr>
        <w:t>、公司董事会审议通过利润分配预案后，方能提交股东大会审议。董事会在审议利润分配预案时，需经全体董事过半数同意，且经二分之一以上独立董事同意方可通过。</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2</w:t>
      </w:r>
      <w:r>
        <w:rPr>
          <w:rFonts w:cs="Times New Roman"/>
          <w:color w:val="000000" w:themeColor="text1"/>
        </w:rPr>
        <w:t>、股东大会在审议利润分配方案时，须经出席股东大会的股东（包括股东代理人）所持表决权的过半数通过。若股东大会审议发放股票股利或以公积金转增股本的方案的，须经出席股东大会的股东（包括股东代理人）所持表决权的三</w:t>
      </w:r>
      <w:r>
        <w:rPr>
          <w:rFonts w:cs="Times New Roman"/>
          <w:color w:val="000000" w:themeColor="text1"/>
        </w:rPr>
        <w:lastRenderedPageBreak/>
        <w:t>分之二以上通过。公司在召开股东大会时除现场会议外，还应向股东提供网络形式的投票平台。</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（三）利润分配政策的调整</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1</w:t>
      </w:r>
      <w:r>
        <w:rPr>
          <w:rFonts w:cs="Times New Roman"/>
          <w:color w:val="000000" w:themeColor="text1"/>
        </w:rPr>
        <w:t>、如果公司因外部经营环境或自身经营状况发生较大变化而确需调整利润分配政策的，调整后的利润分配政策不得违反中国证监会和证券交易所的有关规定。上述</w:t>
      </w:r>
      <w:r>
        <w:rPr>
          <w:rFonts w:cs="Times New Roman" w:hint="eastAsia"/>
          <w:color w:val="000000" w:themeColor="text1"/>
        </w:rPr>
        <w:t>“</w:t>
      </w:r>
      <w:r>
        <w:rPr>
          <w:rFonts w:cs="Times New Roman"/>
          <w:color w:val="000000" w:themeColor="text1"/>
        </w:rPr>
        <w:t>外部经营环境或自身经营状况发生较大变化</w:t>
      </w:r>
      <w:r>
        <w:rPr>
          <w:rFonts w:cs="Times New Roman" w:hint="eastAsia"/>
          <w:color w:val="000000" w:themeColor="text1"/>
        </w:rPr>
        <w:t>”</w:t>
      </w:r>
      <w:r>
        <w:rPr>
          <w:rFonts w:cs="Times New Roman"/>
          <w:color w:val="000000" w:themeColor="text1"/>
        </w:rPr>
        <w:t>系指下列情形之一：</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w:t>
      </w:r>
      <w:r>
        <w:rPr>
          <w:rFonts w:cs="Times New Roman"/>
          <w:color w:val="000000" w:themeColor="text1"/>
        </w:rPr>
        <w:t>1</w:t>
      </w:r>
      <w:r>
        <w:rPr>
          <w:rFonts w:cs="Times New Roman"/>
          <w:color w:val="000000" w:themeColor="text1"/>
        </w:rPr>
        <w:t>）国家制定的法律法规、行业政策及经济环境发生重大变化，非因公司自身原因导致公司经营亏损；</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w:t>
      </w:r>
      <w:r>
        <w:rPr>
          <w:rFonts w:cs="Times New Roman"/>
          <w:color w:val="000000" w:themeColor="text1"/>
        </w:rPr>
        <w:t>2</w:t>
      </w:r>
      <w:r>
        <w:rPr>
          <w:rFonts w:cs="Times New Roman"/>
          <w:color w:val="000000" w:themeColor="text1"/>
        </w:rPr>
        <w:t>）出现地震、台风、水灾、战争等不能预见、不能避免并不能克服的不可抗力因素，对公司生产经营造成重大不利影响导致公司经营亏损；</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w:t>
      </w:r>
      <w:r>
        <w:rPr>
          <w:rFonts w:cs="Times New Roman"/>
          <w:color w:val="000000" w:themeColor="text1"/>
        </w:rPr>
        <w:t>3</w:t>
      </w:r>
      <w:r>
        <w:rPr>
          <w:rFonts w:cs="Times New Roman"/>
          <w:color w:val="000000" w:themeColor="text1"/>
        </w:rPr>
        <w:t>）公司法定公积金弥补以前年度亏损后，公司当年实现净利润仍不足以弥补以前年度亏损；</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w:t>
      </w:r>
      <w:r>
        <w:rPr>
          <w:rFonts w:cs="Times New Roman"/>
          <w:color w:val="000000" w:themeColor="text1"/>
        </w:rPr>
        <w:t>4</w:t>
      </w:r>
      <w:r>
        <w:rPr>
          <w:rFonts w:cs="Times New Roman"/>
          <w:color w:val="000000" w:themeColor="text1"/>
        </w:rPr>
        <w:t>）公司的主营业务发生重大变化或实施重大资产重组，公司还处于业务调整期的；</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w:t>
      </w:r>
      <w:r>
        <w:rPr>
          <w:rFonts w:cs="Times New Roman"/>
          <w:color w:val="000000" w:themeColor="text1"/>
        </w:rPr>
        <w:t>5</w:t>
      </w:r>
      <w:r>
        <w:rPr>
          <w:rFonts w:cs="Times New Roman"/>
          <w:color w:val="000000" w:themeColor="text1"/>
        </w:rPr>
        <w:t>）中国证监会和证券交易所规定的其他事项。</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2</w:t>
      </w:r>
      <w:r>
        <w:rPr>
          <w:rFonts w:cs="Times New Roman"/>
          <w:color w:val="000000" w:themeColor="text1"/>
        </w:rPr>
        <w:t>、在制定现金分红具体方案时，董事会应当认真研究和论证公司现金分红的时机、条件和最低比例、调整的条件及其决策程序要求等事宜，独立董事应当发表明确意见。股东大会对现金分红具体方案进行审议前，上市公司应当通过多种渠道主动与股东特别是中小股东进行沟通和交流，充分听取中小股东的意见和诉求，及时答复中小股东关心的问题。董事会在审议调整现金分红政策时，需经全体董事过半数同意，且经二分之一以上独立董事同意方可通过。独立董事可以征集中小股东的意见，提出分红提案，并直接提交董事会审议。</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3</w:t>
      </w:r>
      <w:r>
        <w:rPr>
          <w:rFonts w:cs="Times New Roman"/>
          <w:color w:val="000000" w:themeColor="text1"/>
        </w:rPr>
        <w:t>、对本章程规定的利润分配政策进行调整或变更的，应当经董事会审议通过后方能提交股东大会审议，且公司应当提供网络形式的投票平台为股东参加股东大会提供便利。公司以股东权益保护为出发点，在股东大会提案中详细论证和</w:t>
      </w:r>
      <w:r>
        <w:rPr>
          <w:rFonts w:cs="Times New Roman"/>
          <w:color w:val="000000" w:themeColor="text1"/>
        </w:rPr>
        <w:lastRenderedPageBreak/>
        <w:t>说明原因。股东大会在审议利润分配政策的调整或变更事项时，应当由出席股东大会的股东（包括股东代理人）所持表决权三分之二以上表决通过。公司应当严格执行公司章程确定的现金分红政策以及股东大会审议批准的现金分红具体方案。</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（四）公司利润分配方案的实施：公司股东大会对利润分配方案</w:t>
      </w:r>
      <w:proofErr w:type="gramStart"/>
      <w:r>
        <w:rPr>
          <w:rFonts w:cs="Times New Roman"/>
          <w:color w:val="000000" w:themeColor="text1"/>
        </w:rPr>
        <w:t>作出</w:t>
      </w:r>
      <w:proofErr w:type="gramEnd"/>
      <w:r>
        <w:rPr>
          <w:rFonts w:cs="Times New Roman"/>
          <w:color w:val="000000" w:themeColor="text1"/>
        </w:rPr>
        <w:t>决议后，公司董事会须在股东大会召开后</w:t>
      </w:r>
      <w:r>
        <w:rPr>
          <w:rFonts w:cs="Times New Roman"/>
          <w:color w:val="000000" w:themeColor="text1"/>
        </w:rPr>
        <w:t>2</w:t>
      </w:r>
      <w:r>
        <w:rPr>
          <w:rFonts w:cs="Times New Roman"/>
          <w:color w:val="000000" w:themeColor="text1"/>
        </w:rPr>
        <w:t>个月内完成股利（或股份）的派发事项。</w:t>
      </w:r>
      <w:r>
        <w:rPr>
          <w:rFonts w:cs="Times New Roman" w:hint="eastAsia"/>
          <w:color w:val="000000" w:themeColor="text1"/>
        </w:rPr>
        <w:t>”</w:t>
      </w:r>
    </w:p>
    <w:p w:rsidR="003C3FCD" w:rsidRDefault="00343C0E">
      <w:pPr>
        <w:pStyle w:val="2"/>
        <w:spacing w:before="120" w:after="120" w:line="360" w:lineRule="auto"/>
        <w:rPr>
          <w:rFonts w:ascii="Times New Roman" w:eastAsia="黑体" w:hAnsi="Times New Roman" w:cs="Times New Roman"/>
          <w:color w:val="000000" w:themeColor="text1"/>
          <w:sz w:val="28"/>
        </w:rPr>
      </w:pPr>
      <w:bookmarkStart w:id="47" w:name="_Toc146198230"/>
      <w:r>
        <w:rPr>
          <w:rFonts w:ascii="Times New Roman" w:eastAsia="黑体" w:hAnsi="Times New Roman" w:cs="Times New Roman"/>
          <w:color w:val="000000" w:themeColor="text1"/>
          <w:sz w:val="28"/>
        </w:rPr>
        <w:t>二、公司最近三年现金分红及未分配利润使用情况</w:t>
      </w:r>
      <w:bookmarkEnd w:id="47"/>
      <w:r>
        <w:rPr>
          <w:rFonts w:ascii="Times New Roman" w:eastAsia="黑体" w:hAnsi="Times New Roman" w:cs="Times New Roman"/>
          <w:color w:val="000000" w:themeColor="text1"/>
          <w:sz w:val="28"/>
        </w:rPr>
        <w:tab/>
      </w:r>
    </w:p>
    <w:p w:rsidR="003C3FCD" w:rsidRDefault="00343C0E">
      <w:pPr>
        <w:pStyle w:val="3"/>
        <w:spacing w:before="120" w:after="120" w:line="360" w:lineRule="auto"/>
        <w:ind w:firstLineChars="200" w:firstLine="482"/>
        <w:rPr>
          <w:rFonts w:cs="Times New Roman"/>
          <w:color w:val="000000" w:themeColor="text1"/>
          <w:sz w:val="24"/>
        </w:rPr>
      </w:pPr>
      <w:r>
        <w:rPr>
          <w:rFonts w:cs="Times New Roman"/>
          <w:color w:val="000000" w:themeColor="text1"/>
          <w:sz w:val="24"/>
        </w:rPr>
        <w:t>（一）最近三年分红情况</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最近三年公司现金分红情况如下：</w:t>
      </w:r>
    </w:p>
    <w:p w:rsidR="003C3FCD" w:rsidRDefault="00343C0E">
      <w:pPr>
        <w:spacing w:line="360" w:lineRule="auto"/>
        <w:ind w:firstLine="482"/>
        <w:jc w:val="right"/>
        <w:rPr>
          <w:rFonts w:cs="Times New Roman"/>
          <w:color w:val="000000" w:themeColor="text1"/>
          <w:sz w:val="21"/>
          <w:szCs w:val="21"/>
        </w:rPr>
      </w:pPr>
      <w:r>
        <w:rPr>
          <w:rFonts w:cs="Times New Roman"/>
          <w:color w:val="000000" w:themeColor="text1"/>
          <w:sz w:val="21"/>
          <w:szCs w:val="21"/>
        </w:rPr>
        <w:t>单位：元</w:t>
      </w:r>
    </w:p>
    <w:tbl>
      <w:tblPr>
        <w:tblStyle w:val="ab"/>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39"/>
        <w:gridCol w:w="1212"/>
        <w:gridCol w:w="1212"/>
        <w:gridCol w:w="1213"/>
      </w:tblGrid>
      <w:tr w:rsidR="003C3FCD">
        <w:trPr>
          <w:trHeight w:val="397"/>
        </w:trPr>
        <w:tc>
          <w:tcPr>
            <w:tcW w:w="2803" w:type="pct"/>
            <w:vAlign w:val="center"/>
          </w:tcPr>
          <w:p w:rsidR="003C3FCD" w:rsidRDefault="00343C0E">
            <w:pPr>
              <w:jc w:val="center"/>
              <w:rPr>
                <w:rFonts w:cs="Times New Roman"/>
                <w:b/>
                <w:color w:val="000000" w:themeColor="text1"/>
                <w:sz w:val="21"/>
              </w:rPr>
            </w:pPr>
            <w:r>
              <w:rPr>
                <w:rFonts w:cs="Times New Roman"/>
                <w:b/>
                <w:color w:val="000000" w:themeColor="text1"/>
                <w:sz w:val="21"/>
              </w:rPr>
              <w:t>项目</w:t>
            </w:r>
          </w:p>
        </w:tc>
        <w:tc>
          <w:tcPr>
            <w:tcW w:w="732" w:type="pct"/>
            <w:vAlign w:val="center"/>
          </w:tcPr>
          <w:p w:rsidR="003C3FCD" w:rsidRDefault="00343C0E">
            <w:pPr>
              <w:jc w:val="center"/>
              <w:rPr>
                <w:rFonts w:cs="Times New Roman"/>
                <w:b/>
                <w:color w:val="000000" w:themeColor="text1"/>
                <w:sz w:val="21"/>
              </w:rPr>
            </w:pPr>
            <w:r>
              <w:rPr>
                <w:rFonts w:cs="Times New Roman"/>
                <w:b/>
                <w:color w:val="000000" w:themeColor="text1"/>
                <w:sz w:val="21"/>
              </w:rPr>
              <w:t>2022</w:t>
            </w:r>
            <w:r>
              <w:rPr>
                <w:rFonts w:cs="Times New Roman"/>
                <w:b/>
                <w:color w:val="000000" w:themeColor="text1"/>
                <w:sz w:val="21"/>
              </w:rPr>
              <w:t>年度</w:t>
            </w:r>
          </w:p>
        </w:tc>
        <w:tc>
          <w:tcPr>
            <w:tcW w:w="732" w:type="pct"/>
            <w:vAlign w:val="center"/>
          </w:tcPr>
          <w:p w:rsidR="003C3FCD" w:rsidRDefault="00343C0E">
            <w:pPr>
              <w:jc w:val="center"/>
              <w:rPr>
                <w:rFonts w:cs="Times New Roman"/>
                <w:b/>
                <w:color w:val="000000" w:themeColor="text1"/>
                <w:sz w:val="21"/>
              </w:rPr>
            </w:pPr>
            <w:r>
              <w:rPr>
                <w:rFonts w:cs="Times New Roman"/>
                <w:b/>
                <w:color w:val="000000" w:themeColor="text1"/>
                <w:sz w:val="21"/>
              </w:rPr>
              <w:t>2021</w:t>
            </w:r>
            <w:r>
              <w:rPr>
                <w:rFonts w:cs="Times New Roman"/>
                <w:b/>
                <w:color w:val="000000" w:themeColor="text1"/>
                <w:sz w:val="21"/>
              </w:rPr>
              <w:t>年度</w:t>
            </w:r>
          </w:p>
        </w:tc>
        <w:tc>
          <w:tcPr>
            <w:tcW w:w="733" w:type="pct"/>
            <w:vAlign w:val="center"/>
          </w:tcPr>
          <w:p w:rsidR="003C3FCD" w:rsidRDefault="00343C0E">
            <w:pPr>
              <w:jc w:val="center"/>
              <w:rPr>
                <w:rFonts w:cs="Times New Roman"/>
                <w:b/>
                <w:color w:val="000000" w:themeColor="text1"/>
                <w:sz w:val="21"/>
              </w:rPr>
            </w:pPr>
            <w:r>
              <w:rPr>
                <w:rFonts w:cs="Times New Roman"/>
                <w:b/>
                <w:color w:val="000000" w:themeColor="text1"/>
                <w:sz w:val="21"/>
              </w:rPr>
              <w:t>2020</w:t>
            </w:r>
            <w:r>
              <w:rPr>
                <w:rFonts w:cs="Times New Roman"/>
                <w:b/>
                <w:color w:val="000000" w:themeColor="text1"/>
                <w:sz w:val="21"/>
              </w:rPr>
              <w:t>年度</w:t>
            </w:r>
          </w:p>
        </w:tc>
      </w:tr>
      <w:tr w:rsidR="003C3FCD">
        <w:trPr>
          <w:trHeight w:val="397"/>
        </w:trPr>
        <w:tc>
          <w:tcPr>
            <w:tcW w:w="2803" w:type="pct"/>
            <w:vAlign w:val="center"/>
          </w:tcPr>
          <w:p w:rsidR="003C3FCD" w:rsidRDefault="00343C0E">
            <w:pPr>
              <w:rPr>
                <w:rFonts w:cs="Times New Roman"/>
                <w:color w:val="000000" w:themeColor="text1"/>
                <w:sz w:val="21"/>
              </w:rPr>
            </w:pPr>
            <w:r>
              <w:rPr>
                <w:rFonts w:cs="Times New Roman"/>
                <w:color w:val="000000" w:themeColor="text1"/>
                <w:sz w:val="21"/>
              </w:rPr>
              <w:t>现金分红金额（含税）</w:t>
            </w:r>
          </w:p>
        </w:tc>
        <w:tc>
          <w:tcPr>
            <w:tcW w:w="732" w:type="pct"/>
            <w:vAlign w:val="center"/>
          </w:tcPr>
          <w:p w:rsidR="003C3FCD" w:rsidRDefault="00343C0E">
            <w:pPr>
              <w:jc w:val="right"/>
              <w:rPr>
                <w:rFonts w:cs="Times New Roman"/>
                <w:color w:val="000000" w:themeColor="text1"/>
                <w:sz w:val="21"/>
              </w:rPr>
            </w:pPr>
            <w:r>
              <w:rPr>
                <w:rFonts w:cs="Times New Roman"/>
                <w:color w:val="000000" w:themeColor="text1"/>
                <w:sz w:val="21"/>
              </w:rPr>
              <w:t>7,053,172</w:t>
            </w:r>
          </w:p>
        </w:tc>
        <w:tc>
          <w:tcPr>
            <w:tcW w:w="732" w:type="pct"/>
            <w:vAlign w:val="center"/>
          </w:tcPr>
          <w:p w:rsidR="003C3FCD" w:rsidRDefault="00343C0E">
            <w:pPr>
              <w:jc w:val="right"/>
              <w:rPr>
                <w:rFonts w:cs="Times New Roman"/>
                <w:color w:val="000000" w:themeColor="text1"/>
                <w:sz w:val="21"/>
              </w:rPr>
            </w:pPr>
            <w:r>
              <w:rPr>
                <w:rFonts w:cs="Times New Roman"/>
                <w:color w:val="000000" w:themeColor="text1"/>
                <w:sz w:val="21"/>
              </w:rPr>
              <w:t>7,053,172</w:t>
            </w:r>
          </w:p>
        </w:tc>
        <w:tc>
          <w:tcPr>
            <w:tcW w:w="733" w:type="pct"/>
            <w:vAlign w:val="center"/>
          </w:tcPr>
          <w:p w:rsidR="003C3FCD" w:rsidRDefault="00343C0E">
            <w:pPr>
              <w:jc w:val="right"/>
              <w:rPr>
                <w:rFonts w:cs="Times New Roman"/>
                <w:color w:val="000000" w:themeColor="text1"/>
                <w:sz w:val="21"/>
              </w:rPr>
            </w:pPr>
            <w:r>
              <w:rPr>
                <w:rFonts w:cs="Times New Roman"/>
                <w:color w:val="000000" w:themeColor="text1"/>
                <w:sz w:val="21"/>
              </w:rPr>
              <w:t>7,053,172</w:t>
            </w:r>
          </w:p>
        </w:tc>
      </w:tr>
      <w:tr w:rsidR="003C3FCD">
        <w:trPr>
          <w:trHeight w:val="397"/>
        </w:trPr>
        <w:tc>
          <w:tcPr>
            <w:tcW w:w="2803" w:type="pct"/>
            <w:vAlign w:val="center"/>
          </w:tcPr>
          <w:p w:rsidR="003C3FCD" w:rsidRDefault="00343C0E">
            <w:pPr>
              <w:rPr>
                <w:rFonts w:cs="Times New Roman"/>
                <w:color w:val="000000" w:themeColor="text1"/>
                <w:sz w:val="21"/>
              </w:rPr>
            </w:pPr>
            <w:r>
              <w:rPr>
                <w:rFonts w:cs="Times New Roman"/>
                <w:color w:val="000000" w:themeColor="text1"/>
                <w:sz w:val="21"/>
              </w:rPr>
              <w:t>当年归属于上市公司股东的净利润</w:t>
            </w:r>
          </w:p>
        </w:tc>
        <w:tc>
          <w:tcPr>
            <w:tcW w:w="732" w:type="pct"/>
            <w:vAlign w:val="center"/>
          </w:tcPr>
          <w:p w:rsidR="003C3FCD" w:rsidRDefault="00343C0E">
            <w:pPr>
              <w:widowControl/>
              <w:jc w:val="right"/>
              <w:rPr>
                <w:rFonts w:cs="Times New Roman"/>
                <w:color w:val="000000" w:themeColor="text1"/>
                <w:sz w:val="21"/>
                <w:szCs w:val="21"/>
              </w:rPr>
            </w:pPr>
            <w:r>
              <w:rPr>
                <w:rFonts w:cs="Times New Roman"/>
                <w:color w:val="000000" w:themeColor="text1"/>
                <w:sz w:val="21"/>
                <w:szCs w:val="21"/>
              </w:rPr>
              <w:t>15,604,048</w:t>
            </w:r>
          </w:p>
        </w:tc>
        <w:tc>
          <w:tcPr>
            <w:tcW w:w="732" w:type="pct"/>
            <w:vAlign w:val="center"/>
          </w:tcPr>
          <w:p w:rsidR="003C3FCD" w:rsidRDefault="00343C0E">
            <w:pPr>
              <w:jc w:val="right"/>
              <w:rPr>
                <w:rFonts w:cs="Times New Roman"/>
                <w:color w:val="000000" w:themeColor="text1"/>
                <w:sz w:val="21"/>
                <w:szCs w:val="21"/>
              </w:rPr>
            </w:pPr>
            <w:r>
              <w:rPr>
                <w:rFonts w:cs="Times New Roman"/>
                <w:color w:val="000000" w:themeColor="text1"/>
                <w:sz w:val="21"/>
                <w:szCs w:val="21"/>
              </w:rPr>
              <w:t>11,440,684</w:t>
            </w:r>
          </w:p>
        </w:tc>
        <w:tc>
          <w:tcPr>
            <w:tcW w:w="733" w:type="pct"/>
            <w:vAlign w:val="center"/>
          </w:tcPr>
          <w:p w:rsidR="003C3FCD" w:rsidRDefault="00343C0E">
            <w:pPr>
              <w:jc w:val="right"/>
              <w:rPr>
                <w:rFonts w:cs="Times New Roman"/>
                <w:color w:val="000000" w:themeColor="text1"/>
                <w:sz w:val="21"/>
                <w:szCs w:val="21"/>
              </w:rPr>
            </w:pPr>
            <w:r>
              <w:rPr>
                <w:rFonts w:cs="Times New Roman"/>
                <w:color w:val="000000" w:themeColor="text1"/>
                <w:sz w:val="21"/>
                <w:szCs w:val="21"/>
              </w:rPr>
              <w:t>20,193,240</w:t>
            </w:r>
          </w:p>
        </w:tc>
      </w:tr>
      <w:tr w:rsidR="003C3FCD">
        <w:trPr>
          <w:trHeight w:val="397"/>
        </w:trPr>
        <w:tc>
          <w:tcPr>
            <w:tcW w:w="2803" w:type="pct"/>
            <w:vAlign w:val="center"/>
          </w:tcPr>
          <w:p w:rsidR="003C3FCD" w:rsidRDefault="00343C0E">
            <w:pPr>
              <w:rPr>
                <w:rFonts w:cs="Times New Roman"/>
                <w:color w:val="000000" w:themeColor="text1"/>
                <w:sz w:val="21"/>
              </w:rPr>
            </w:pPr>
            <w:r>
              <w:rPr>
                <w:rFonts w:cs="Times New Roman"/>
                <w:color w:val="000000" w:themeColor="text1"/>
                <w:sz w:val="21"/>
              </w:rPr>
              <w:t>现金</w:t>
            </w:r>
            <w:proofErr w:type="gramStart"/>
            <w:r>
              <w:rPr>
                <w:rFonts w:cs="Times New Roman"/>
                <w:color w:val="000000" w:themeColor="text1"/>
                <w:sz w:val="21"/>
              </w:rPr>
              <w:t>分红占</w:t>
            </w:r>
            <w:proofErr w:type="gramEnd"/>
            <w:r>
              <w:rPr>
                <w:rFonts w:cs="Times New Roman"/>
                <w:color w:val="000000" w:themeColor="text1"/>
                <w:sz w:val="21"/>
              </w:rPr>
              <w:t>当年归属于上市公司股东的净利润的比例</w:t>
            </w:r>
          </w:p>
        </w:tc>
        <w:tc>
          <w:tcPr>
            <w:tcW w:w="732" w:type="pct"/>
            <w:vAlign w:val="center"/>
          </w:tcPr>
          <w:p w:rsidR="003C3FCD" w:rsidRDefault="00343C0E">
            <w:pPr>
              <w:widowControl/>
              <w:jc w:val="right"/>
              <w:rPr>
                <w:rFonts w:cs="Times New Roman"/>
                <w:color w:val="000000" w:themeColor="text1"/>
                <w:sz w:val="20"/>
                <w:szCs w:val="20"/>
              </w:rPr>
            </w:pPr>
            <w:r>
              <w:rPr>
                <w:rFonts w:cs="Times New Roman"/>
                <w:color w:val="000000" w:themeColor="text1"/>
                <w:sz w:val="20"/>
                <w:szCs w:val="20"/>
              </w:rPr>
              <w:t>45.20%</w:t>
            </w:r>
          </w:p>
        </w:tc>
        <w:tc>
          <w:tcPr>
            <w:tcW w:w="732" w:type="pct"/>
            <w:vAlign w:val="center"/>
          </w:tcPr>
          <w:p w:rsidR="003C3FCD" w:rsidRDefault="00343C0E">
            <w:pPr>
              <w:jc w:val="right"/>
              <w:rPr>
                <w:rFonts w:cs="Times New Roman"/>
                <w:color w:val="000000" w:themeColor="text1"/>
                <w:sz w:val="20"/>
                <w:szCs w:val="20"/>
              </w:rPr>
            </w:pPr>
            <w:r>
              <w:rPr>
                <w:rFonts w:cs="Times New Roman"/>
                <w:color w:val="000000" w:themeColor="text1"/>
                <w:sz w:val="20"/>
                <w:szCs w:val="20"/>
              </w:rPr>
              <w:t>61.65%</w:t>
            </w:r>
          </w:p>
        </w:tc>
        <w:tc>
          <w:tcPr>
            <w:tcW w:w="733" w:type="pct"/>
            <w:vAlign w:val="center"/>
          </w:tcPr>
          <w:p w:rsidR="003C3FCD" w:rsidRDefault="00343C0E">
            <w:pPr>
              <w:jc w:val="right"/>
              <w:rPr>
                <w:rFonts w:cs="Times New Roman"/>
                <w:color w:val="000000" w:themeColor="text1"/>
                <w:sz w:val="20"/>
                <w:szCs w:val="20"/>
              </w:rPr>
            </w:pPr>
            <w:r>
              <w:rPr>
                <w:rFonts w:cs="Times New Roman"/>
                <w:color w:val="000000" w:themeColor="text1"/>
                <w:sz w:val="20"/>
                <w:szCs w:val="20"/>
              </w:rPr>
              <w:t>34.93%</w:t>
            </w:r>
          </w:p>
        </w:tc>
      </w:tr>
      <w:tr w:rsidR="003C3FCD">
        <w:trPr>
          <w:trHeight w:val="397"/>
        </w:trPr>
        <w:tc>
          <w:tcPr>
            <w:tcW w:w="2803" w:type="pct"/>
            <w:vAlign w:val="center"/>
          </w:tcPr>
          <w:p w:rsidR="003C3FCD" w:rsidRDefault="00343C0E">
            <w:pPr>
              <w:rPr>
                <w:rFonts w:cs="Times New Roman"/>
                <w:color w:val="000000" w:themeColor="text1"/>
                <w:sz w:val="21"/>
              </w:rPr>
            </w:pPr>
            <w:r>
              <w:rPr>
                <w:rFonts w:cs="Times New Roman"/>
                <w:color w:val="000000" w:themeColor="text1"/>
                <w:sz w:val="21"/>
              </w:rPr>
              <w:t>最近三年累计现金分红（含税）合计</w:t>
            </w:r>
          </w:p>
        </w:tc>
        <w:tc>
          <w:tcPr>
            <w:tcW w:w="2197" w:type="pct"/>
            <w:gridSpan w:val="3"/>
            <w:vAlign w:val="center"/>
          </w:tcPr>
          <w:p w:rsidR="003C3FCD" w:rsidRDefault="00343C0E">
            <w:pPr>
              <w:jc w:val="right"/>
              <w:rPr>
                <w:rFonts w:cs="Times New Roman"/>
                <w:color w:val="000000" w:themeColor="text1"/>
                <w:sz w:val="21"/>
              </w:rPr>
            </w:pPr>
            <w:r>
              <w:rPr>
                <w:rFonts w:cs="Times New Roman"/>
                <w:color w:val="000000" w:themeColor="text1"/>
                <w:sz w:val="21"/>
              </w:rPr>
              <w:t>21,159,516</w:t>
            </w:r>
          </w:p>
        </w:tc>
      </w:tr>
      <w:tr w:rsidR="003C3FCD">
        <w:trPr>
          <w:trHeight w:val="397"/>
        </w:trPr>
        <w:tc>
          <w:tcPr>
            <w:tcW w:w="2803" w:type="pct"/>
            <w:vAlign w:val="center"/>
          </w:tcPr>
          <w:p w:rsidR="003C3FCD" w:rsidRDefault="00343C0E">
            <w:pPr>
              <w:rPr>
                <w:rFonts w:cs="Times New Roman"/>
                <w:color w:val="000000" w:themeColor="text1"/>
                <w:sz w:val="21"/>
              </w:rPr>
            </w:pPr>
            <w:r>
              <w:rPr>
                <w:rFonts w:cs="Times New Roman"/>
                <w:color w:val="000000" w:themeColor="text1"/>
                <w:sz w:val="21"/>
              </w:rPr>
              <w:t>最近三年累计现金分配利润占年均可分配利润的比例</w:t>
            </w:r>
          </w:p>
        </w:tc>
        <w:tc>
          <w:tcPr>
            <w:tcW w:w="2197" w:type="pct"/>
            <w:gridSpan w:val="3"/>
            <w:vAlign w:val="center"/>
          </w:tcPr>
          <w:p w:rsidR="003C3FCD" w:rsidRDefault="00343C0E">
            <w:pPr>
              <w:jc w:val="right"/>
              <w:rPr>
                <w:rFonts w:cs="Times New Roman"/>
                <w:color w:val="000000" w:themeColor="text1"/>
                <w:sz w:val="21"/>
              </w:rPr>
            </w:pPr>
            <w:r>
              <w:rPr>
                <w:rFonts w:cs="Times New Roman"/>
                <w:color w:val="000000" w:themeColor="text1"/>
                <w:sz w:val="21"/>
              </w:rPr>
              <w:t>134.38%</w:t>
            </w:r>
          </w:p>
        </w:tc>
      </w:tr>
    </w:tbl>
    <w:p w:rsidR="003C3FCD" w:rsidRDefault="00343C0E">
      <w:pPr>
        <w:pStyle w:val="3"/>
        <w:spacing w:before="120" w:after="120" w:line="360" w:lineRule="auto"/>
        <w:ind w:firstLineChars="200" w:firstLine="482"/>
        <w:rPr>
          <w:rFonts w:cs="Times New Roman"/>
          <w:color w:val="000000" w:themeColor="text1"/>
          <w:sz w:val="24"/>
        </w:rPr>
      </w:pPr>
      <w:r>
        <w:rPr>
          <w:rFonts w:cs="Times New Roman"/>
          <w:color w:val="000000" w:themeColor="text1"/>
          <w:sz w:val="24"/>
        </w:rPr>
        <w:t>（二）公司未分配利润使用情况</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公司将留存的未分配利润用于公司主营业务，以满足公司发展战略的需要。在合理回报股东的情况下，公司上述未分配利润的使用，有效降低了公司的筹资成本，同时增加了公司财务的稳健性。</w:t>
      </w:r>
    </w:p>
    <w:p w:rsidR="003C3FCD" w:rsidRDefault="00343C0E">
      <w:pPr>
        <w:pStyle w:val="2"/>
        <w:spacing w:before="120" w:after="120" w:line="360" w:lineRule="auto"/>
        <w:ind w:firstLineChars="200" w:firstLine="562"/>
        <w:rPr>
          <w:rFonts w:ascii="Times New Roman" w:eastAsia="黑体" w:hAnsi="Times New Roman" w:cs="Times New Roman"/>
          <w:color w:val="000000" w:themeColor="text1"/>
          <w:sz w:val="28"/>
        </w:rPr>
      </w:pPr>
      <w:bookmarkStart w:id="48" w:name="_Toc146198231"/>
      <w:r>
        <w:rPr>
          <w:rFonts w:ascii="Times New Roman" w:eastAsia="黑体" w:hAnsi="Times New Roman" w:cs="Times New Roman"/>
          <w:color w:val="000000" w:themeColor="text1"/>
          <w:sz w:val="28"/>
        </w:rPr>
        <w:t>三、未来三年（</w:t>
      </w:r>
      <w:r>
        <w:rPr>
          <w:rFonts w:ascii="Times New Roman" w:eastAsia="黑体" w:hAnsi="Times New Roman" w:cs="Times New Roman"/>
          <w:color w:val="000000" w:themeColor="text1"/>
          <w:sz w:val="28"/>
        </w:rPr>
        <w:t>2023-2025</w:t>
      </w:r>
      <w:r>
        <w:rPr>
          <w:rFonts w:ascii="Times New Roman" w:eastAsia="黑体" w:hAnsi="Times New Roman" w:cs="Times New Roman"/>
          <w:color w:val="000000" w:themeColor="text1"/>
          <w:sz w:val="28"/>
        </w:rPr>
        <w:t>年）股东回报规划</w:t>
      </w:r>
      <w:bookmarkEnd w:id="48"/>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公司根据相关规定并结合公司实际情况，制定了《渤海水业股份有限公司未来三年（</w:t>
      </w:r>
      <w:r>
        <w:rPr>
          <w:rFonts w:cs="Times New Roman"/>
          <w:color w:val="000000" w:themeColor="text1"/>
        </w:rPr>
        <w:t>2023-2025</w:t>
      </w:r>
      <w:r>
        <w:rPr>
          <w:rFonts w:cs="Times New Roman"/>
          <w:color w:val="000000" w:themeColor="text1"/>
        </w:rPr>
        <w:t>年）股东回报规划》，具体内容如下：</w:t>
      </w:r>
    </w:p>
    <w:p w:rsidR="003C3FCD" w:rsidRDefault="00343C0E">
      <w:pPr>
        <w:spacing w:beforeLines="50" w:before="163" w:afterLines="50" w:after="163" w:line="360" w:lineRule="auto"/>
        <w:ind w:firstLine="480"/>
        <w:rPr>
          <w:rFonts w:cs="Times New Roman"/>
          <w:color w:val="000000" w:themeColor="text1"/>
        </w:rPr>
      </w:pPr>
      <w:r>
        <w:rPr>
          <w:rFonts w:cs="Times New Roman" w:hint="eastAsia"/>
          <w:color w:val="000000" w:themeColor="text1"/>
        </w:rPr>
        <w:t>“</w:t>
      </w:r>
      <w:r>
        <w:rPr>
          <w:rFonts w:cs="Times New Roman"/>
          <w:color w:val="000000" w:themeColor="text1"/>
        </w:rPr>
        <w:t>一、制定本规划考虑的因素</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lastRenderedPageBreak/>
        <w:t>公司制定本规划基于公司所处行业的特点及其发展趋势，公司自身经营模式、盈利水平、社会资金成本、外部融资环境、股东特别是中小股东的要求和意愿等重要因素。充分考虑公司的战略发展规划及发展所处阶段、目前及未来的盈利能力和规模、现金流量状况、经营资金需求、银行信贷、债权融资环境及是否有重大资金支出安排等情况，建立对投资者持续、稳定、科学的回报规划与机制，平衡投资者短期利益和长期回报，有效兼顾投资者的合理回报和公司的可持续发展等重要因素。</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二、制定本规划的原则</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公司制定本规划系在遵循《公司法》等法律、法规、规范性文件和《公司章程》的规定下，本着兼顾投资者的合理投资回报及公司的持续良好发展的原则，同时充分考虑、听取并采纳了公司独立董事、监事会和股东（特别是中小股东）的意见、诉求，确定合理的利润分配方案，保持利润分配政策的连续性和稳定性。</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三、股东分红规划的决策机制和制定周期</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（一）利润分配方案的研究论证程序和决策机制</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1</w:t>
      </w:r>
      <w:r>
        <w:rPr>
          <w:rFonts w:cs="Times New Roman"/>
          <w:color w:val="000000" w:themeColor="text1"/>
        </w:rPr>
        <w:t>、公司管理层、董事会应当在充分考虑公司持续经营能力、保证正常生产经营及业务发展所需资金和重视对投资者的合理投资回报的前提下，研究论证利润分配预案。</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2</w:t>
      </w:r>
      <w:r>
        <w:rPr>
          <w:rFonts w:cs="Times New Roman"/>
          <w:color w:val="000000" w:themeColor="text1"/>
        </w:rPr>
        <w:t>、公司董事会拟定具体的利润分配预案时，应当遵守国家有关法律法规、部门规章、规范性文件和《公司章程》的规定。同时应当认真研究和论证公司现金分红的时机、条件和比例、调整的条件等事宜，应该充分听取监事会的意见。</w:t>
      </w:r>
      <w:r>
        <w:rPr>
          <w:rFonts w:cs="Times New Roman" w:hint="eastAsia"/>
          <w:color w:val="000000" w:themeColor="text1"/>
        </w:rPr>
        <w:t>独立董事认为现金分红具体方案可能损害上市公司或者中小股东权益的，有权发表独立意见。董事会对独立董事的意见未采纳或者未完全采纳的，应当在董事会决议中记载独立董事的意见及未采纳的具体理由，并披露。</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3</w:t>
      </w:r>
      <w:r>
        <w:rPr>
          <w:rFonts w:cs="Times New Roman"/>
          <w:color w:val="000000" w:themeColor="text1"/>
        </w:rPr>
        <w:t>、公司至少每三年重新审阅一次股东分红规划，公司董事会在有关利润分配方案的决策和论证过程中，可以通过电话、传真、信函、电子邮件、公司网站上的投资者关系互动平台等方式，与独立董事、中小股东和监事进行沟通和交流，</w:t>
      </w:r>
      <w:r>
        <w:rPr>
          <w:rFonts w:cs="Times New Roman"/>
          <w:color w:val="000000" w:themeColor="text1"/>
        </w:rPr>
        <w:lastRenderedPageBreak/>
        <w:t>充分听取独立董事、中小股东和监事的意见和诉求，及时答复中小股东关心的问题。</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4</w:t>
      </w:r>
      <w:r>
        <w:rPr>
          <w:rFonts w:cs="Times New Roman"/>
          <w:color w:val="000000" w:themeColor="text1"/>
        </w:rPr>
        <w:t>、公司在上一会计年度实现盈利，但公司董事会在上一会计年度结束后未提出现金分红方案的，应当征询独立董事和监事会的意见，并在定期报告中披露未提出现金分红方案的原因、未用于分红的资金留存公司的用途，独立董事还应当对此发表独立意见并公开披露。</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（二）利润分配方案的审议程序</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1</w:t>
      </w:r>
      <w:r>
        <w:rPr>
          <w:rFonts w:cs="Times New Roman"/>
          <w:color w:val="000000" w:themeColor="text1"/>
        </w:rPr>
        <w:t>、公司董事会审议通过利润分配预案后，方能提交股东大会审议。董事会在审议利润分配预案时，需经全体董事过半数同意，且经二分之一以上独立董事同意方可通过。</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2</w:t>
      </w:r>
      <w:r>
        <w:rPr>
          <w:rFonts w:cs="Times New Roman"/>
          <w:color w:val="000000" w:themeColor="text1"/>
        </w:rPr>
        <w:t>、利润分配方案经董事会、监事会审议通过后提交股东大会进行审议。</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3</w:t>
      </w:r>
      <w:r>
        <w:rPr>
          <w:rFonts w:cs="Times New Roman"/>
          <w:color w:val="000000" w:themeColor="text1"/>
        </w:rPr>
        <w:t>、股东大会在审议利润分配方案时，须经出席股东大会的股东（包括股东代理人）所持表决权的过半数通过。若股东大会审议发放股票股利或以公积金转增股本的方案的，须经出席股东大会的股东（包括股东代理人）所持表决权的三分之二以上通过。</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四、未来三年（</w:t>
      </w:r>
      <w:r>
        <w:rPr>
          <w:rFonts w:cs="Times New Roman"/>
          <w:color w:val="000000" w:themeColor="text1"/>
        </w:rPr>
        <w:t>2023-2025</w:t>
      </w:r>
      <w:r>
        <w:rPr>
          <w:rFonts w:cs="Times New Roman"/>
          <w:color w:val="000000" w:themeColor="text1"/>
        </w:rPr>
        <w:t>年）的股东分红规划具体事项</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（一）利润分配的基本原则</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1</w:t>
      </w:r>
      <w:r>
        <w:rPr>
          <w:rFonts w:cs="Times New Roman"/>
          <w:color w:val="000000" w:themeColor="text1"/>
        </w:rPr>
        <w:t>、公司实行连续稳定的利润分配政策，同时兼顾公司的长远利益、全体股东的整体利益及公司的可持续发展；</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2</w:t>
      </w:r>
      <w:r>
        <w:rPr>
          <w:rFonts w:cs="Times New Roman"/>
          <w:color w:val="000000" w:themeColor="text1"/>
        </w:rPr>
        <w:t>、公司如无重大投资计划或重大现金支出发生，在当年实现的归属于母公司可分配利润（即公司弥补亏损、提取公积金后所余的税后利润）为正值的情况下，优先采取现金方式分配股利；</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3</w:t>
      </w:r>
      <w:r>
        <w:rPr>
          <w:rFonts w:cs="Times New Roman"/>
          <w:color w:val="000000" w:themeColor="text1"/>
        </w:rPr>
        <w:t>、公司每年按当年实现的合并报表可供分配利润的规定比例向股东分配股利。</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lastRenderedPageBreak/>
        <w:t>（二）利润分配形式</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公司采取现金、股票或者现金与股票相结合的方式分配股利。</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（三）利润分配的期间间隔</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1</w:t>
      </w:r>
      <w:r>
        <w:rPr>
          <w:rFonts w:cs="Times New Roman"/>
          <w:color w:val="000000" w:themeColor="text1"/>
        </w:rPr>
        <w:t>、在公司当年盈利且公司累计未分配利润为正数的前提下，公司每年度至少进行一次利润分配。</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2</w:t>
      </w:r>
      <w:r>
        <w:rPr>
          <w:rFonts w:cs="Times New Roman"/>
          <w:color w:val="000000" w:themeColor="text1"/>
        </w:rPr>
        <w:t>、公司可以进行中期现金分红。公司董事会可以根据公司当期的盈利规模、现金流状况、发展阶段及资金需求状况，提议公司进行中期分红。</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（四）利润分配的条件</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1</w:t>
      </w:r>
      <w:r>
        <w:rPr>
          <w:rFonts w:cs="Times New Roman"/>
          <w:color w:val="000000" w:themeColor="text1"/>
        </w:rPr>
        <w:t>、现金分红的具体条件和比例</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在保证公司能够持续经营和长期发展的前提下，除特殊情况外，公司采取现金方式分配股利，每年以现金方式分配的利润不少于当年实现的合并报表可供分配利润的</w:t>
      </w:r>
      <w:r>
        <w:rPr>
          <w:rFonts w:cs="Times New Roman"/>
          <w:color w:val="000000" w:themeColor="text1"/>
        </w:rPr>
        <w:t>10%</w:t>
      </w:r>
      <w:r>
        <w:rPr>
          <w:rFonts w:cs="Times New Roman"/>
          <w:color w:val="000000" w:themeColor="text1"/>
        </w:rPr>
        <w:t>，且最近三年以现金方式累计分配的利润不少于最近三年实现的合并报表年均可分配利润的</w:t>
      </w:r>
      <w:r>
        <w:rPr>
          <w:rFonts w:cs="Times New Roman"/>
          <w:color w:val="000000" w:themeColor="text1"/>
        </w:rPr>
        <w:t>30%</w:t>
      </w:r>
      <w:r>
        <w:rPr>
          <w:rFonts w:cs="Times New Roman"/>
          <w:color w:val="000000" w:themeColor="text1"/>
        </w:rPr>
        <w:t>，具体每个年度的分红比例由董事会根据公司年度盈利状况和未来资金使用计划提出预案。</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特殊情况是指：</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w:t>
      </w:r>
      <w:r>
        <w:rPr>
          <w:rFonts w:cs="Times New Roman"/>
          <w:color w:val="000000" w:themeColor="text1"/>
        </w:rPr>
        <w:t>1</w:t>
      </w:r>
      <w:r>
        <w:rPr>
          <w:rFonts w:cs="Times New Roman"/>
          <w:color w:val="000000" w:themeColor="text1"/>
        </w:rPr>
        <w:t>）审计机构对公司的该年度财务报告出具了非标准无保留意见的审计报告；</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w:t>
      </w:r>
      <w:r>
        <w:rPr>
          <w:rFonts w:cs="Times New Roman"/>
          <w:color w:val="000000" w:themeColor="text1"/>
        </w:rPr>
        <w:t>2</w:t>
      </w:r>
      <w:r>
        <w:rPr>
          <w:rFonts w:cs="Times New Roman"/>
          <w:color w:val="000000" w:themeColor="text1"/>
        </w:rPr>
        <w:t>）公司有重大投资计划或重大现金支出等事项发生（募集资金项目除外），即指公司未来十二个月内</w:t>
      </w:r>
      <w:proofErr w:type="gramStart"/>
      <w:r>
        <w:rPr>
          <w:rFonts w:cs="Times New Roman"/>
          <w:color w:val="000000" w:themeColor="text1"/>
        </w:rPr>
        <w:t>拟对外</w:t>
      </w:r>
      <w:proofErr w:type="gramEnd"/>
      <w:r>
        <w:rPr>
          <w:rFonts w:cs="Times New Roman"/>
          <w:color w:val="000000" w:themeColor="text1"/>
        </w:rPr>
        <w:t>投资、购买资产等交易累计支出达到或超过公司最近一期经审计净资产</w:t>
      </w:r>
      <w:r>
        <w:rPr>
          <w:rFonts w:cs="Times New Roman"/>
          <w:color w:val="000000" w:themeColor="text1"/>
        </w:rPr>
        <w:t>50%</w:t>
      </w:r>
      <w:r>
        <w:rPr>
          <w:rFonts w:cs="Times New Roman"/>
          <w:color w:val="000000" w:themeColor="text1"/>
        </w:rPr>
        <w:t>。</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公司应当综合考虑所处行业特点、发展阶段、自身经营模式、盈利水平以及是否有重大资金支出安排等因素，区分下列情形，并按照公司章程规定的程序，提出差异化的现金分红政策：</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w:t>
      </w:r>
      <w:r>
        <w:rPr>
          <w:rFonts w:cs="Times New Roman"/>
          <w:color w:val="000000" w:themeColor="text1"/>
        </w:rPr>
        <w:t>1</w:t>
      </w:r>
      <w:r>
        <w:rPr>
          <w:rFonts w:cs="Times New Roman"/>
          <w:color w:val="000000" w:themeColor="text1"/>
        </w:rPr>
        <w:t>）公司发展阶段属成熟期且无重大资金支出安排的，进行利润分配时，</w:t>
      </w:r>
      <w:r>
        <w:rPr>
          <w:rFonts w:cs="Times New Roman"/>
          <w:color w:val="000000" w:themeColor="text1"/>
        </w:rPr>
        <w:lastRenderedPageBreak/>
        <w:t>现金分红在本次利润分配中所占比例最低应达到</w:t>
      </w:r>
      <w:r>
        <w:rPr>
          <w:rFonts w:cs="Times New Roman"/>
          <w:color w:val="000000" w:themeColor="text1"/>
        </w:rPr>
        <w:t>80%</w:t>
      </w:r>
      <w:r>
        <w:rPr>
          <w:rFonts w:cs="Times New Roman"/>
          <w:color w:val="000000" w:themeColor="text1"/>
        </w:rPr>
        <w:t>；（</w:t>
      </w:r>
      <w:r>
        <w:rPr>
          <w:rFonts w:cs="Times New Roman"/>
          <w:color w:val="000000" w:themeColor="text1"/>
        </w:rPr>
        <w:t>2</w:t>
      </w:r>
      <w:r>
        <w:rPr>
          <w:rFonts w:cs="Times New Roman"/>
          <w:color w:val="000000" w:themeColor="text1"/>
        </w:rPr>
        <w:t>）公司发展阶段属成熟期且有重大资金支出安排的，进行利润分配时，现金分红在本次利润分配中所占比例最低应达到</w:t>
      </w:r>
      <w:r>
        <w:rPr>
          <w:rFonts w:cs="Times New Roman"/>
          <w:color w:val="000000" w:themeColor="text1"/>
        </w:rPr>
        <w:t>40%</w:t>
      </w:r>
      <w:r>
        <w:rPr>
          <w:rFonts w:cs="Times New Roman"/>
          <w:color w:val="000000" w:themeColor="text1"/>
        </w:rPr>
        <w:t>；（</w:t>
      </w:r>
      <w:r>
        <w:rPr>
          <w:rFonts w:cs="Times New Roman"/>
          <w:color w:val="000000" w:themeColor="text1"/>
        </w:rPr>
        <w:t>3</w:t>
      </w:r>
      <w:r>
        <w:rPr>
          <w:rFonts w:cs="Times New Roman"/>
          <w:color w:val="000000" w:themeColor="text1"/>
        </w:rPr>
        <w:t>）公司发展阶段属成长期且有重大资金支出安排的，进行利润分配时，现金分红在本次利润分配中所占比例最低应达到</w:t>
      </w:r>
      <w:r>
        <w:rPr>
          <w:rFonts w:cs="Times New Roman"/>
          <w:color w:val="000000" w:themeColor="text1"/>
        </w:rPr>
        <w:t>20%</w:t>
      </w:r>
      <w:r>
        <w:rPr>
          <w:rFonts w:cs="Times New Roman"/>
          <w:color w:val="000000" w:themeColor="text1"/>
        </w:rPr>
        <w:t>；公司发展阶段不易区分但有重大资金支出安排的，可以按照前项规定处理。</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2</w:t>
      </w:r>
      <w:r>
        <w:rPr>
          <w:rFonts w:cs="Times New Roman"/>
          <w:color w:val="000000" w:themeColor="text1"/>
        </w:rPr>
        <w:t>、发放股票股利的条件</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在公司经营状况良好，且董事会认为公司每股收益、股票价格与公司股本规模、股本结构不匹配时，公司可以采取发放股票股利的方式分配利润。公司在确定以股票方式分配利润的具体金额时，应当充分考虑以股票方式分配利润后的总股本是否与公司目前的经营规模、盈利增长速度相适应，并考虑对未来债权融资成本的影响，以确保分配方案符合全体股东整体利益和长远利益。</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五、本规划的决策、执行及调整机制</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（一）利润分配政策的调整</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1</w:t>
      </w:r>
      <w:r>
        <w:rPr>
          <w:rFonts w:cs="Times New Roman"/>
          <w:color w:val="000000" w:themeColor="text1"/>
        </w:rPr>
        <w:t>、如果公司因外部经营环境或自身经营状况发生较大变化而确需调整利润分配政策的，调整后的利润分配政策不得违反中国证监会和证券交易所的有关规定。上述</w:t>
      </w:r>
      <w:r>
        <w:rPr>
          <w:rFonts w:cs="Times New Roman" w:hint="eastAsia"/>
          <w:color w:val="000000" w:themeColor="text1"/>
        </w:rPr>
        <w:t>“</w:t>
      </w:r>
      <w:r>
        <w:rPr>
          <w:rFonts w:cs="Times New Roman"/>
          <w:color w:val="000000" w:themeColor="text1"/>
        </w:rPr>
        <w:t>外部经营环境或自身经营状况发生较大变化</w:t>
      </w:r>
      <w:r>
        <w:rPr>
          <w:rFonts w:cs="Times New Roman" w:hint="eastAsia"/>
          <w:color w:val="000000" w:themeColor="text1"/>
        </w:rPr>
        <w:t>”</w:t>
      </w:r>
      <w:r>
        <w:rPr>
          <w:rFonts w:cs="Times New Roman"/>
          <w:color w:val="000000" w:themeColor="text1"/>
        </w:rPr>
        <w:t>系指下列情形之一：</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w:t>
      </w:r>
      <w:r>
        <w:rPr>
          <w:rFonts w:cs="Times New Roman"/>
          <w:color w:val="000000" w:themeColor="text1"/>
        </w:rPr>
        <w:t>1</w:t>
      </w:r>
      <w:r>
        <w:rPr>
          <w:rFonts w:cs="Times New Roman"/>
          <w:color w:val="000000" w:themeColor="text1"/>
        </w:rPr>
        <w:t>）国家制定的法律法规、行业政策及经济环境发生重大变化，非因公司自身原因导致公司经营亏损；</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w:t>
      </w:r>
      <w:r>
        <w:rPr>
          <w:rFonts w:cs="Times New Roman"/>
          <w:color w:val="000000" w:themeColor="text1"/>
        </w:rPr>
        <w:t>2</w:t>
      </w:r>
      <w:r>
        <w:rPr>
          <w:rFonts w:cs="Times New Roman"/>
          <w:color w:val="000000" w:themeColor="text1"/>
        </w:rPr>
        <w:t>）出现地震、台风、水灾、战争等不能预见、不能避免并不能克服的不可抗力因素，对公司生产经营造成重大不利影响导致公司经营亏损；</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w:t>
      </w:r>
      <w:r>
        <w:rPr>
          <w:rFonts w:cs="Times New Roman"/>
          <w:color w:val="000000" w:themeColor="text1"/>
        </w:rPr>
        <w:t>3</w:t>
      </w:r>
      <w:r>
        <w:rPr>
          <w:rFonts w:cs="Times New Roman"/>
          <w:color w:val="000000" w:themeColor="text1"/>
        </w:rPr>
        <w:t>）公司法定公积金弥补以前年度亏损后，公司当年实现净利润仍不足以弥补以前年度亏损；</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w:t>
      </w:r>
      <w:r>
        <w:rPr>
          <w:rFonts w:cs="Times New Roman"/>
          <w:color w:val="000000" w:themeColor="text1"/>
        </w:rPr>
        <w:t>4</w:t>
      </w:r>
      <w:r>
        <w:rPr>
          <w:rFonts w:cs="Times New Roman"/>
          <w:color w:val="000000" w:themeColor="text1"/>
        </w:rPr>
        <w:t>）公司的主营业务发生重大变化或实施重大资产重组，公司还处于业务调整期的；</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w:t>
      </w:r>
      <w:r>
        <w:rPr>
          <w:rFonts w:cs="Times New Roman"/>
          <w:color w:val="000000" w:themeColor="text1"/>
        </w:rPr>
        <w:t>5</w:t>
      </w:r>
      <w:r>
        <w:rPr>
          <w:rFonts w:cs="Times New Roman"/>
          <w:color w:val="000000" w:themeColor="text1"/>
        </w:rPr>
        <w:t>）中国证监会和证券交易所规定的其他事项。</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lastRenderedPageBreak/>
        <w:t>2</w:t>
      </w:r>
      <w:r>
        <w:rPr>
          <w:rFonts w:cs="Times New Roman"/>
          <w:color w:val="000000" w:themeColor="text1"/>
        </w:rPr>
        <w:t>、在制定现金分红具体方案时，董事会应当认真研究和论证公司现金分红的时机、条件和最低比例、调整的条件及其决策程序要求等事宜，独立董事和监事会应当发表明确意见。股东大会对现金分红具体方案进行审议前，上市公司应当通过多种渠道主动与股东特别是中小股东、监事会进行沟通和交流，充分听取中小股东和监事会的意见和诉求，及时答复中小股东关心的问题。董事会在审议调整现金分红政策时，需经全体董事过半数同意，且经二分之一以上独立董事同意方可通过。独立董事可以征集中小股东的意见，提出分红提案，并直接提交董事会审议。</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3</w:t>
      </w:r>
      <w:r>
        <w:rPr>
          <w:rFonts w:cs="Times New Roman"/>
          <w:color w:val="000000" w:themeColor="text1"/>
        </w:rPr>
        <w:t>、对本规划规定的利润分配政策进行调整或变更的，应当经董事会根据实际情况提出利润分配政策调整方案，调整后的利润分配政策应以股东利益保护为出发点，且不得违反中国证监会和证券交易所的有关规定，独立董事、监事会应当对调整利润分配政策发表审核意见，审议通过后方能提交股东大会审议。公司以股东权益保护为出发点，在股东大会提案中详细论证和说明原因。股东大会在审议利润分配政策的调整或变更事项时，应当由出席股东大会的股东（包括股东代理人）所持表决权三分之二以上表决通过。公司应当严格执行《公司章程》确定的现金分红政策以及股东大会审议批准的现金分红具体方案。</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（二）公司利润分配方案的实施</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公司股东大会对利润分配方案</w:t>
      </w:r>
      <w:proofErr w:type="gramStart"/>
      <w:r>
        <w:rPr>
          <w:rFonts w:cs="Times New Roman"/>
          <w:color w:val="000000" w:themeColor="text1"/>
        </w:rPr>
        <w:t>作出</w:t>
      </w:r>
      <w:proofErr w:type="gramEnd"/>
      <w:r>
        <w:rPr>
          <w:rFonts w:cs="Times New Roman"/>
          <w:color w:val="000000" w:themeColor="text1"/>
        </w:rPr>
        <w:t>决议后，公司董事会须在股东大会召开后</w:t>
      </w:r>
      <w:r>
        <w:rPr>
          <w:rFonts w:cs="Times New Roman"/>
          <w:color w:val="000000" w:themeColor="text1"/>
        </w:rPr>
        <w:t>2</w:t>
      </w:r>
      <w:r>
        <w:rPr>
          <w:rFonts w:cs="Times New Roman"/>
          <w:color w:val="000000" w:themeColor="text1"/>
        </w:rPr>
        <w:t>个月内完成股利（或股份）的派发事项。</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六、其他</w:t>
      </w:r>
    </w:p>
    <w:p w:rsidR="003C3FCD" w:rsidRDefault="00343C0E">
      <w:pPr>
        <w:spacing w:beforeLines="50" w:before="163" w:afterLines="50" w:after="163" w:line="360" w:lineRule="auto"/>
        <w:ind w:firstLine="480"/>
        <w:rPr>
          <w:rFonts w:cs="Times New Roman"/>
          <w:color w:val="000000" w:themeColor="text1"/>
        </w:rPr>
      </w:pPr>
      <w:r>
        <w:rPr>
          <w:rFonts w:cs="Times New Roman"/>
          <w:color w:val="000000" w:themeColor="text1"/>
        </w:rPr>
        <w:t>本规划未尽事宜，依照相关法律、法规、规范性文件及《公司章程》规定执行。本规划由公司董事会负责解释，自公司股东大会审议通过之日起实施，修订调整亦同。</w:t>
      </w:r>
      <w:r>
        <w:rPr>
          <w:rFonts w:cs="Times New Roman" w:hint="eastAsia"/>
          <w:color w:val="000000" w:themeColor="text1"/>
        </w:rPr>
        <w:t>”</w:t>
      </w:r>
    </w:p>
    <w:p w:rsidR="003C3FCD" w:rsidRDefault="00343C0E">
      <w:pPr>
        <w:widowControl/>
        <w:jc w:val="left"/>
        <w:rPr>
          <w:rFonts w:cs="Times New Roman"/>
          <w:color w:val="000000" w:themeColor="text1"/>
        </w:rPr>
      </w:pPr>
      <w:r>
        <w:rPr>
          <w:rFonts w:cs="Times New Roman"/>
          <w:color w:val="000000" w:themeColor="text1"/>
        </w:rPr>
        <w:br w:type="page"/>
      </w:r>
    </w:p>
    <w:p w:rsidR="003C3FCD" w:rsidRDefault="00343C0E">
      <w:pPr>
        <w:pStyle w:val="1"/>
        <w:jc w:val="center"/>
        <w:rPr>
          <w:rFonts w:cs="Times New Roman"/>
          <w:color w:val="000000" w:themeColor="text1"/>
          <w:sz w:val="32"/>
        </w:rPr>
      </w:pPr>
      <w:bookmarkStart w:id="49" w:name="_Toc146198232"/>
      <w:r>
        <w:rPr>
          <w:rFonts w:cs="Times New Roman"/>
          <w:color w:val="000000" w:themeColor="text1"/>
          <w:sz w:val="32"/>
        </w:rPr>
        <w:lastRenderedPageBreak/>
        <w:t>第五节</w:t>
      </w:r>
      <w:r>
        <w:rPr>
          <w:rFonts w:cs="Times New Roman"/>
          <w:color w:val="000000" w:themeColor="text1"/>
          <w:sz w:val="32"/>
        </w:rPr>
        <w:t xml:space="preserve"> </w:t>
      </w:r>
      <w:r>
        <w:rPr>
          <w:rFonts w:cs="Times New Roman"/>
          <w:color w:val="000000" w:themeColor="text1"/>
          <w:sz w:val="32"/>
        </w:rPr>
        <w:t>本次发行股票摊薄即期回报分析</w:t>
      </w:r>
      <w:bookmarkEnd w:id="49"/>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根据国务院《关于进一步促进资本市场健康发展的若干意见》（国发〔</w:t>
      </w:r>
      <w:r>
        <w:rPr>
          <w:rFonts w:cs="Times New Roman"/>
          <w:color w:val="000000" w:themeColor="text1"/>
        </w:rPr>
        <w:t>2014</w:t>
      </w:r>
      <w:r>
        <w:rPr>
          <w:rFonts w:cs="Times New Roman"/>
          <w:color w:val="000000" w:themeColor="text1"/>
        </w:rPr>
        <w:t>〕</w:t>
      </w:r>
      <w:r>
        <w:rPr>
          <w:rFonts w:cs="Times New Roman"/>
          <w:color w:val="000000" w:themeColor="text1"/>
        </w:rPr>
        <w:t>17</w:t>
      </w:r>
      <w:r>
        <w:rPr>
          <w:rFonts w:cs="Times New Roman"/>
          <w:color w:val="000000" w:themeColor="text1"/>
        </w:rPr>
        <w:t>号）、国务院办公厅《关于进一步加强资本市场中小投资者合法权益保护工作的意见》（国办发〔</w:t>
      </w:r>
      <w:r>
        <w:rPr>
          <w:rFonts w:cs="Times New Roman"/>
          <w:color w:val="000000" w:themeColor="text1"/>
        </w:rPr>
        <w:t>2013</w:t>
      </w:r>
      <w:r>
        <w:rPr>
          <w:rFonts w:cs="Times New Roman"/>
          <w:color w:val="000000" w:themeColor="text1"/>
        </w:rPr>
        <w:t>〕</w:t>
      </w:r>
      <w:r>
        <w:rPr>
          <w:rFonts w:cs="Times New Roman"/>
          <w:color w:val="000000" w:themeColor="text1"/>
        </w:rPr>
        <w:t>110</w:t>
      </w:r>
      <w:r>
        <w:rPr>
          <w:rFonts w:cs="Times New Roman"/>
          <w:color w:val="000000" w:themeColor="text1"/>
        </w:rPr>
        <w:t>号）及《关于首发及再融资、重大资产重组摊薄即期回报有关事项的指导意见》（证监会公告〔</w:t>
      </w:r>
      <w:r>
        <w:rPr>
          <w:rFonts w:cs="Times New Roman"/>
          <w:color w:val="000000" w:themeColor="text1"/>
        </w:rPr>
        <w:t>2015</w:t>
      </w:r>
      <w:r>
        <w:rPr>
          <w:rFonts w:cs="Times New Roman"/>
          <w:color w:val="000000" w:themeColor="text1"/>
        </w:rPr>
        <w:t>〕</w:t>
      </w:r>
      <w:r>
        <w:rPr>
          <w:rFonts w:cs="Times New Roman"/>
          <w:color w:val="000000" w:themeColor="text1"/>
        </w:rPr>
        <w:t>31</w:t>
      </w:r>
      <w:r>
        <w:rPr>
          <w:rFonts w:cs="Times New Roman"/>
          <w:color w:val="000000" w:themeColor="text1"/>
        </w:rPr>
        <w:t>号）等文件的有关规定，为保障中小投资者利益，公司就本次发行事项对即期回报摊薄的影响进行了认真、审慎、客观的分析，并制定了具体的填补回报措施，相关主体对公司填补回报措施能够得到切实履行做出了承诺，具体内容如下：</w:t>
      </w:r>
    </w:p>
    <w:p w:rsidR="003C3FCD" w:rsidRDefault="00343C0E">
      <w:pPr>
        <w:pStyle w:val="2"/>
        <w:spacing w:before="120" w:after="120" w:line="360" w:lineRule="auto"/>
        <w:rPr>
          <w:rFonts w:ascii="Times New Roman" w:eastAsia="黑体" w:hAnsi="Times New Roman" w:cs="Times New Roman"/>
          <w:color w:val="000000" w:themeColor="text1"/>
          <w:sz w:val="28"/>
        </w:rPr>
      </w:pPr>
      <w:bookmarkStart w:id="50" w:name="_Toc146198233"/>
      <w:r>
        <w:rPr>
          <w:rFonts w:ascii="Times New Roman" w:eastAsia="黑体" w:hAnsi="Times New Roman" w:cs="Times New Roman"/>
          <w:color w:val="000000" w:themeColor="text1"/>
          <w:sz w:val="28"/>
        </w:rPr>
        <w:t>一、本次发行摊薄即期回报对公司主要财务指标的影响</w:t>
      </w:r>
      <w:bookmarkEnd w:id="50"/>
    </w:p>
    <w:p w:rsidR="003C3FCD" w:rsidRDefault="00343C0E">
      <w:pPr>
        <w:pStyle w:val="3"/>
        <w:spacing w:before="120" w:after="120" w:line="360" w:lineRule="auto"/>
        <w:ind w:firstLineChars="200" w:firstLine="482"/>
        <w:rPr>
          <w:rFonts w:cs="Times New Roman"/>
          <w:color w:val="000000" w:themeColor="text1"/>
          <w:sz w:val="24"/>
        </w:rPr>
      </w:pPr>
      <w:bookmarkStart w:id="51" w:name="_Toc140187618"/>
      <w:r>
        <w:rPr>
          <w:rFonts w:cs="Times New Roman"/>
          <w:color w:val="000000" w:themeColor="text1"/>
          <w:sz w:val="24"/>
        </w:rPr>
        <w:t>（一）主要假设及条件</w:t>
      </w:r>
    </w:p>
    <w:p w:rsidR="003C3FCD" w:rsidRDefault="00343C0E">
      <w:pPr>
        <w:autoSpaceDE w:val="0"/>
        <w:autoSpaceDN w:val="0"/>
        <w:adjustRightInd w:val="0"/>
        <w:snapToGrid w:val="0"/>
        <w:spacing w:beforeLines="50" w:before="163" w:afterLines="50" w:after="163" w:line="360" w:lineRule="auto"/>
        <w:ind w:firstLineChars="200" w:firstLine="480"/>
        <w:textAlignment w:val="baseline"/>
        <w:rPr>
          <w:rFonts w:cs="Times New Roman"/>
          <w:color w:val="000000" w:themeColor="text1"/>
        </w:rPr>
      </w:pPr>
      <w:r>
        <w:rPr>
          <w:rFonts w:cs="Times New Roman"/>
          <w:color w:val="000000" w:themeColor="text1"/>
        </w:rPr>
        <w:t>1</w:t>
      </w:r>
      <w:r>
        <w:rPr>
          <w:rFonts w:cs="Times New Roman"/>
          <w:color w:val="000000" w:themeColor="text1"/>
        </w:rPr>
        <w:t>、假设宏观经济环境、产业政策、行业发展状况、市场情况及公司经营环境等方面没有发生重大不利变化；</w:t>
      </w:r>
    </w:p>
    <w:p w:rsidR="003C3FCD" w:rsidRDefault="00343C0E">
      <w:pPr>
        <w:autoSpaceDE w:val="0"/>
        <w:autoSpaceDN w:val="0"/>
        <w:adjustRightInd w:val="0"/>
        <w:snapToGrid w:val="0"/>
        <w:spacing w:beforeLines="50" w:before="163" w:afterLines="50" w:after="163" w:line="360" w:lineRule="auto"/>
        <w:ind w:firstLineChars="200" w:firstLine="480"/>
        <w:textAlignment w:val="baseline"/>
        <w:rPr>
          <w:rFonts w:cs="Times New Roman"/>
          <w:color w:val="000000" w:themeColor="text1"/>
        </w:rPr>
      </w:pPr>
      <w:r>
        <w:rPr>
          <w:rFonts w:cs="Times New Roman"/>
          <w:color w:val="000000" w:themeColor="text1"/>
        </w:rPr>
        <w:t>2</w:t>
      </w:r>
      <w:r>
        <w:rPr>
          <w:rFonts w:cs="Times New Roman"/>
          <w:color w:val="000000" w:themeColor="text1"/>
        </w:rPr>
        <w:t>、假设本次发行股票预计于</w:t>
      </w:r>
      <w:r>
        <w:rPr>
          <w:rFonts w:cs="Times New Roman"/>
          <w:color w:val="000000" w:themeColor="text1"/>
        </w:rPr>
        <w:t>2024</w:t>
      </w:r>
      <w:r>
        <w:rPr>
          <w:rFonts w:cs="Times New Roman"/>
          <w:color w:val="000000" w:themeColor="text1"/>
        </w:rPr>
        <w:t>年</w:t>
      </w:r>
      <w:r>
        <w:rPr>
          <w:rFonts w:cs="Times New Roman"/>
          <w:color w:val="000000" w:themeColor="text1"/>
        </w:rPr>
        <w:t>3</w:t>
      </w:r>
      <w:r>
        <w:rPr>
          <w:rFonts w:cs="Times New Roman"/>
          <w:color w:val="000000" w:themeColor="text1"/>
        </w:rPr>
        <w:t>月底完成，前述完成时间仅用于计算本次发行对即期回报的影响，不构成公司对本次发行股票实际完成时间的承诺，投资者不应据此进行投资决策，投资者据此进行投资决策造成损失的，公司不承担赔偿责任，本次发行的完成时间最终以实际发行完成时间为准；</w:t>
      </w:r>
    </w:p>
    <w:p w:rsidR="003C3FCD" w:rsidRDefault="00343C0E">
      <w:pPr>
        <w:autoSpaceDE w:val="0"/>
        <w:autoSpaceDN w:val="0"/>
        <w:adjustRightInd w:val="0"/>
        <w:snapToGrid w:val="0"/>
        <w:spacing w:beforeLines="50" w:before="163" w:afterLines="50" w:after="163" w:line="360" w:lineRule="auto"/>
        <w:ind w:firstLineChars="200" w:firstLine="480"/>
        <w:textAlignment w:val="baseline"/>
        <w:rPr>
          <w:rFonts w:cs="Times New Roman"/>
          <w:color w:val="000000" w:themeColor="text1"/>
        </w:rPr>
      </w:pPr>
      <w:r>
        <w:rPr>
          <w:rFonts w:cs="Times New Roman"/>
          <w:color w:val="000000" w:themeColor="text1"/>
        </w:rPr>
        <w:t>3</w:t>
      </w:r>
      <w:r>
        <w:rPr>
          <w:rFonts w:cs="Times New Roman"/>
          <w:color w:val="000000" w:themeColor="text1"/>
        </w:rPr>
        <w:t>、在预测公司总股本时，仅考虑本次发行股票的影响，不考虑其他因素（如资本公积转增股本、股票回购注销等）所导致的股本变动。本次发行前公司总股本</w:t>
      </w:r>
      <w:r>
        <w:rPr>
          <w:rFonts w:cs="Times New Roman"/>
          <w:color w:val="000000" w:themeColor="text1"/>
        </w:rPr>
        <w:t>352,658,600</w:t>
      </w:r>
      <w:r>
        <w:rPr>
          <w:rFonts w:cs="Times New Roman"/>
          <w:color w:val="000000" w:themeColor="text1"/>
        </w:rPr>
        <w:t>股，本次发行的股份数量上限为</w:t>
      </w:r>
      <w:r>
        <w:rPr>
          <w:rFonts w:cs="Times New Roman"/>
          <w:color w:val="000000" w:themeColor="text1"/>
        </w:rPr>
        <w:t>50,505,050</w:t>
      </w:r>
      <w:r>
        <w:rPr>
          <w:rFonts w:cs="Times New Roman"/>
          <w:color w:val="000000" w:themeColor="text1"/>
        </w:rPr>
        <w:t>股，按照本次发行股票的数量上限计算，本次发行完成后，公司总股本将达到</w:t>
      </w:r>
      <w:r>
        <w:rPr>
          <w:rFonts w:cs="Times New Roman"/>
          <w:color w:val="000000" w:themeColor="text1"/>
        </w:rPr>
        <w:t>403,163,650</w:t>
      </w:r>
      <w:r>
        <w:rPr>
          <w:rFonts w:cs="Times New Roman"/>
          <w:color w:val="000000" w:themeColor="text1"/>
        </w:rPr>
        <w:t>股。该发行股票数量仅为估计，最终发行股票数量以中国证监会同意注册的数量为准；</w:t>
      </w:r>
    </w:p>
    <w:p w:rsidR="003C3FCD" w:rsidRDefault="00343C0E">
      <w:pPr>
        <w:autoSpaceDE w:val="0"/>
        <w:autoSpaceDN w:val="0"/>
        <w:adjustRightInd w:val="0"/>
        <w:snapToGrid w:val="0"/>
        <w:spacing w:beforeLines="50" w:before="163" w:afterLines="50" w:after="163" w:line="360" w:lineRule="auto"/>
        <w:ind w:firstLineChars="200" w:firstLine="480"/>
        <w:textAlignment w:val="baseline"/>
        <w:rPr>
          <w:rFonts w:cs="Times New Roman"/>
          <w:color w:val="000000" w:themeColor="text1"/>
        </w:rPr>
      </w:pPr>
      <w:r>
        <w:rPr>
          <w:rFonts w:cs="Times New Roman"/>
          <w:color w:val="000000" w:themeColor="text1"/>
        </w:rPr>
        <w:t>4</w:t>
      </w:r>
      <w:r>
        <w:rPr>
          <w:rFonts w:cs="Times New Roman"/>
          <w:color w:val="000000" w:themeColor="text1"/>
        </w:rPr>
        <w:t>、在预测公司净利润时，未考虑在</w:t>
      </w:r>
      <w:r>
        <w:rPr>
          <w:rFonts w:cs="Times New Roman"/>
          <w:color w:val="000000" w:themeColor="text1"/>
        </w:rPr>
        <w:t>2024</w:t>
      </w:r>
      <w:r>
        <w:rPr>
          <w:rFonts w:cs="Times New Roman"/>
          <w:color w:val="000000" w:themeColor="text1"/>
        </w:rPr>
        <w:t>年度进行现金分红等因素对公司财务状况的影响；</w:t>
      </w:r>
    </w:p>
    <w:p w:rsidR="003C3FCD" w:rsidRDefault="00343C0E">
      <w:pPr>
        <w:autoSpaceDE w:val="0"/>
        <w:autoSpaceDN w:val="0"/>
        <w:adjustRightInd w:val="0"/>
        <w:snapToGrid w:val="0"/>
        <w:spacing w:beforeLines="50" w:before="163" w:afterLines="50" w:after="163" w:line="360" w:lineRule="auto"/>
        <w:ind w:firstLineChars="200" w:firstLine="480"/>
        <w:textAlignment w:val="baseline"/>
        <w:rPr>
          <w:rFonts w:cs="Times New Roman"/>
          <w:color w:val="000000" w:themeColor="text1"/>
        </w:rPr>
      </w:pPr>
      <w:r>
        <w:rPr>
          <w:rFonts w:cs="Times New Roman"/>
          <w:color w:val="000000" w:themeColor="text1"/>
        </w:rPr>
        <w:t>5</w:t>
      </w:r>
      <w:r>
        <w:rPr>
          <w:rFonts w:cs="Times New Roman"/>
          <w:color w:val="000000" w:themeColor="text1"/>
        </w:rPr>
        <w:t>、根据公司披露的</w:t>
      </w:r>
      <w:r>
        <w:rPr>
          <w:rFonts w:cs="Times New Roman"/>
          <w:color w:val="000000" w:themeColor="text1"/>
        </w:rPr>
        <w:t>2023</w:t>
      </w:r>
      <w:r>
        <w:rPr>
          <w:rFonts w:cs="Times New Roman"/>
          <w:color w:val="000000" w:themeColor="text1"/>
        </w:rPr>
        <w:t>年三季报报告，公司</w:t>
      </w:r>
      <w:r>
        <w:rPr>
          <w:rFonts w:cs="Times New Roman"/>
          <w:color w:val="000000" w:themeColor="text1"/>
        </w:rPr>
        <w:t>2023</w:t>
      </w:r>
      <w:r>
        <w:rPr>
          <w:rFonts w:cs="Times New Roman"/>
          <w:color w:val="000000" w:themeColor="text1"/>
        </w:rPr>
        <w:t>年</w:t>
      </w:r>
      <w:r>
        <w:rPr>
          <w:rFonts w:cs="Times New Roman"/>
          <w:color w:val="000000" w:themeColor="text1"/>
        </w:rPr>
        <w:t>1-9</w:t>
      </w:r>
      <w:r>
        <w:rPr>
          <w:rFonts w:cs="Times New Roman"/>
          <w:color w:val="000000" w:themeColor="text1"/>
        </w:rPr>
        <w:t>月归属于母公司所有者的净利润为</w:t>
      </w:r>
      <w:r>
        <w:rPr>
          <w:rFonts w:cs="Times New Roman"/>
          <w:color w:val="000000" w:themeColor="text1"/>
        </w:rPr>
        <w:t>1,003.37</w:t>
      </w:r>
      <w:r>
        <w:rPr>
          <w:rFonts w:cs="Times New Roman"/>
          <w:color w:val="000000" w:themeColor="text1"/>
        </w:rPr>
        <w:t>万元，归属于母公司所有者的扣除非经常性损益的净利润</w:t>
      </w:r>
      <w:r>
        <w:rPr>
          <w:rFonts w:cs="Times New Roman"/>
          <w:color w:val="000000" w:themeColor="text1"/>
        </w:rPr>
        <w:lastRenderedPageBreak/>
        <w:t>为</w:t>
      </w:r>
      <w:r>
        <w:rPr>
          <w:rFonts w:cs="Times New Roman"/>
          <w:color w:val="000000" w:themeColor="text1"/>
        </w:rPr>
        <w:t>173.11</w:t>
      </w:r>
      <w:r>
        <w:rPr>
          <w:rFonts w:cs="Times New Roman"/>
          <w:color w:val="000000" w:themeColor="text1"/>
        </w:rPr>
        <w:t>万元。假设公司</w:t>
      </w:r>
      <w:r>
        <w:rPr>
          <w:rFonts w:cs="Times New Roman"/>
          <w:color w:val="000000" w:themeColor="text1"/>
        </w:rPr>
        <w:t>2023</w:t>
      </w:r>
      <w:r>
        <w:rPr>
          <w:rFonts w:cs="Times New Roman"/>
          <w:color w:val="000000" w:themeColor="text1"/>
        </w:rPr>
        <w:t>年</w:t>
      </w:r>
      <w:r>
        <w:rPr>
          <w:rFonts w:cs="Times New Roman"/>
          <w:color w:val="000000" w:themeColor="text1"/>
        </w:rPr>
        <w:t>1-9</w:t>
      </w:r>
      <w:r>
        <w:rPr>
          <w:rFonts w:cs="Times New Roman"/>
          <w:color w:val="000000" w:themeColor="text1"/>
        </w:rPr>
        <w:t>月净利润占全年净利润的</w:t>
      </w:r>
      <w:r>
        <w:rPr>
          <w:rFonts w:cs="Times New Roman"/>
          <w:color w:val="000000" w:themeColor="text1"/>
        </w:rPr>
        <w:t>75%</w:t>
      </w:r>
      <w:r>
        <w:rPr>
          <w:rFonts w:cs="Times New Roman"/>
          <w:color w:val="000000" w:themeColor="text1"/>
        </w:rPr>
        <w:t>（公司各季度盈利波动较为显著，上述假设与</w:t>
      </w:r>
      <w:proofErr w:type="gramStart"/>
      <w:r>
        <w:rPr>
          <w:rFonts w:cs="Times New Roman"/>
          <w:color w:val="000000" w:themeColor="text1"/>
        </w:rPr>
        <w:t>实际净</w:t>
      </w:r>
      <w:proofErr w:type="gramEnd"/>
      <w:r>
        <w:rPr>
          <w:rFonts w:cs="Times New Roman"/>
          <w:color w:val="000000" w:themeColor="text1"/>
        </w:rPr>
        <w:t>利润实现情况或将存在差异），即假设</w:t>
      </w:r>
      <w:r>
        <w:rPr>
          <w:rFonts w:cs="Times New Roman"/>
          <w:color w:val="000000" w:themeColor="text1"/>
        </w:rPr>
        <w:t>2023</w:t>
      </w:r>
      <w:r>
        <w:rPr>
          <w:rFonts w:cs="Times New Roman"/>
          <w:color w:val="000000" w:themeColor="text1"/>
        </w:rPr>
        <w:t>年全年扣除非经常性损益前后归属于母公司股东的净利润分别为</w:t>
      </w:r>
      <w:r>
        <w:rPr>
          <w:rFonts w:cs="Times New Roman"/>
          <w:color w:val="000000" w:themeColor="text1"/>
        </w:rPr>
        <w:t>1,337.82</w:t>
      </w:r>
      <w:r>
        <w:rPr>
          <w:rFonts w:cs="Times New Roman"/>
          <w:color w:val="000000" w:themeColor="text1"/>
        </w:rPr>
        <w:t>万元和</w:t>
      </w:r>
      <w:r>
        <w:rPr>
          <w:rFonts w:cs="Times New Roman"/>
          <w:color w:val="000000" w:themeColor="text1"/>
        </w:rPr>
        <w:t>230.81</w:t>
      </w:r>
      <w:r>
        <w:rPr>
          <w:rFonts w:cs="Times New Roman"/>
          <w:color w:val="000000" w:themeColor="text1"/>
        </w:rPr>
        <w:t>万元。假设公司</w:t>
      </w:r>
      <w:r>
        <w:rPr>
          <w:rFonts w:cs="Times New Roman"/>
          <w:color w:val="000000" w:themeColor="text1"/>
        </w:rPr>
        <w:t>2024</w:t>
      </w:r>
      <w:r>
        <w:rPr>
          <w:rFonts w:cs="Times New Roman"/>
          <w:color w:val="000000" w:themeColor="text1"/>
        </w:rPr>
        <w:t>年度归属于母公司股东的净利润和扣除非经常性损益后归属于母公司股东的净利润较</w:t>
      </w:r>
      <w:r>
        <w:rPr>
          <w:rFonts w:cs="Times New Roman"/>
          <w:color w:val="000000" w:themeColor="text1"/>
        </w:rPr>
        <w:t>2023</w:t>
      </w:r>
      <w:r>
        <w:rPr>
          <w:rFonts w:cs="Times New Roman"/>
          <w:color w:val="000000" w:themeColor="text1"/>
        </w:rPr>
        <w:t>年分别减少</w:t>
      </w:r>
      <w:r>
        <w:rPr>
          <w:rFonts w:cs="Times New Roman"/>
          <w:color w:val="000000" w:themeColor="text1"/>
        </w:rPr>
        <w:t>20%</w:t>
      </w:r>
      <w:r>
        <w:rPr>
          <w:rFonts w:cs="Times New Roman"/>
          <w:color w:val="000000" w:themeColor="text1"/>
        </w:rPr>
        <w:t>、持平、增长</w:t>
      </w:r>
      <w:r>
        <w:rPr>
          <w:rFonts w:cs="Times New Roman"/>
          <w:color w:val="000000" w:themeColor="text1"/>
        </w:rPr>
        <w:t>20%</w:t>
      </w:r>
      <w:r>
        <w:rPr>
          <w:rFonts w:cs="Times New Roman"/>
          <w:color w:val="000000" w:themeColor="text1"/>
        </w:rPr>
        <w:t>计算；</w:t>
      </w:r>
    </w:p>
    <w:p w:rsidR="003C3FCD" w:rsidRDefault="00343C0E">
      <w:pPr>
        <w:autoSpaceDE w:val="0"/>
        <w:autoSpaceDN w:val="0"/>
        <w:adjustRightInd w:val="0"/>
        <w:snapToGrid w:val="0"/>
        <w:spacing w:beforeLines="50" w:before="163" w:afterLines="50" w:after="163" w:line="360" w:lineRule="auto"/>
        <w:ind w:firstLineChars="200" w:firstLine="480"/>
        <w:textAlignment w:val="baseline"/>
        <w:rPr>
          <w:rFonts w:cs="Times New Roman"/>
          <w:color w:val="000000" w:themeColor="text1"/>
        </w:rPr>
      </w:pPr>
      <w:r>
        <w:rPr>
          <w:rFonts w:cs="Times New Roman"/>
          <w:color w:val="000000" w:themeColor="text1"/>
        </w:rPr>
        <w:t>6</w:t>
      </w:r>
      <w:r>
        <w:rPr>
          <w:rFonts w:cs="Times New Roman"/>
          <w:color w:val="000000" w:themeColor="text1"/>
        </w:rPr>
        <w:t>、上述测算未考虑本次发行募集资金到账后，对公司生产经营、财务状况（如财务费用、投资收益）等影响，未考虑</w:t>
      </w:r>
      <w:r>
        <w:rPr>
          <w:rFonts w:cs="Times New Roman" w:hint="eastAsia"/>
          <w:color w:val="000000" w:themeColor="text1"/>
        </w:rPr>
        <w:t>非经常性损益重大变化及</w:t>
      </w:r>
      <w:r>
        <w:rPr>
          <w:rFonts w:cs="Times New Roman"/>
          <w:color w:val="000000" w:themeColor="text1"/>
        </w:rPr>
        <w:t>其他不可抗力因素对公司财务状况的影响。</w:t>
      </w:r>
    </w:p>
    <w:p w:rsidR="003C3FCD" w:rsidRDefault="00343C0E">
      <w:pPr>
        <w:autoSpaceDE w:val="0"/>
        <w:autoSpaceDN w:val="0"/>
        <w:adjustRightInd w:val="0"/>
        <w:snapToGrid w:val="0"/>
        <w:spacing w:beforeLines="50" w:before="163" w:afterLines="50" w:after="163" w:line="360" w:lineRule="auto"/>
        <w:ind w:firstLineChars="200" w:firstLine="480"/>
        <w:textAlignment w:val="baseline"/>
        <w:rPr>
          <w:rFonts w:cs="Times New Roman"/>
          <w:color w:val="000000" w:themeColor="text1"/>
        </w:rPr>
      </w:pPr>
      <w:r>
        <w:rPr>
          <w:rFonts w:cs="Times New Roman"/>
          <w:color w:val="000000" w:themeColor="text1"/>
        </w:rPr>
        <w:t>以上假设仅用于测算本次发行摊薄即期回报对公司主要财务指标的影响，不代表公司对未来经营情况的判断，亦不构成盈利预测，投资者不应据此进行投资决策，投资者据此进行投资决策造成损失的，公司不承担任何赔偿责任。</w:t>
      </w:r>
    </w:p>
    <w:p w:rsidR="003C3FCD" w:rsidRDefault="00343C0E">
      <w:pPr>
        <w:pStyle w:val="3"/>
        <w:spacing w:before="120" w:after="120" w:line="360" w:lineRule="auto"/>
        <w:ind w:firstLineChars="200" w:firstLine="482"/>
        <w:rPr>
          <w:rFonts w:cs="Times New Roman"/>
          <w:color w:val="000000" w:themeColor="text1"/>
          <w:sz w:val="24"/>
        </w:rPr>
      </w:pPr>
      <w:r>
        <w:rPr>
          <w:rFonts w:cs="Times New Roman"/>
          <w:color w:val="000000" w:themeColor="text1"/>
          <w:sz w:val="24"/>
        </w:rPr>
        <w:t>（二）对公司主要指标的影响</w:t>
      </w:r>
    </w:p>
    <w:p w:rsidR="003C3FCD" w:rsidRDefault="00343C0E">
      <w:pPr>
        <w:autoSpaceDE w:val="0"/>
        <w:autoSpaceDN w:val="0"/>
        <w:adjustRightInd w:val="0"/>
        <w:snapToGrid w:val="0"/>
        <w:spacing w:beforeLines="50" w:before="163" w:afterLines="50" w:after="163" w:line="360" w:lineRule="auto"/>
        <w:ind w:firstLineChars="200" w:firstLine="480"/>
        <w:textAlignment w:val="baseline"/>
        <w:rPr>
          <w:rFonts w:cs="Times New Roman"/>
          <w:color w:val="000000" w:themeColor="text1"/>
        </w:rPr>
      </w:pPr>
      <w:r>
        <w:rPr>
          <w:rFonts w:cs="Times New Roman"/>
          <w:color w:val="000000" w:themeColor="text1"/>
        </w:rPr>
        <w:t>基于上述假设的前提下，本次发行摊薄即期回报对公司主要财务指标的影响对比如下：</w:t>
      </w: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4300"/>
        <w:gridCol w:w="1307"/>
        <w:gridCol w:w="1337"/>
        <w:gridCol w:w="1332"/>
      </w:tblGrid>
      <w:tr w:rsidR="003C3FCD">
        <w:trPr>
          <w:trHeight w:val="290"/>
        </w:trPr>
        <w:tc>
          <w:tcPr>
            <w:tcW w:w="4510" w:type="dxa"/>
            <w:vMerge w:val="restart"/>
            <w:shd w:val="clear" w:color="auto" w:fill="auto"/>
            <w:vAlign w:val="center"/>
          </w:tcPr>
          <w:p w:rsidR="003C3FCD" w:rsidRDefault="00343C0E">
            <w:pPr>
              <w:widowControl/>
              <w:jc w:val="center"/>
              <w:textAlignment w:val="center"/>
              <w:rPr>
                <w:rFonts w:cs="Times New Roman"/>
                <w:b/>
                <w:bCs/>
                <w:color w:val="000000" w:themeColor="text1"/>
                <w:kern w:val="0"/>
                <w:sz w:val="21"/>
                <w:szCs w:val="21"/>
              </w:rPr>
            </w:pPr>
            <w:r>
              <w:rPr>
                <w:rFonts w:cs="Times New Roman"/>
                <w:b/>
                <w:bCs/>
                <w:color w:val="000000"/>
                <w:kern w:val="0"/>
                <w:sz w:val="21"/>
                <w:szCs w:val="21"/>
                <w:lang w:bidi="ar"/>
              </w:rPr>
              <w:t>项目</w:t>
            </w:r>
          </w:p>
        </w:tc>
        <w:tc>
          <w:tcPr>
            <w:tcW w:w="1312" w:type="dxa"/>
            <w:vMerge w:val="restart"/>
            <w:shd w:val="clear" w:color="auto" w:fill="auto"/>
            <w:vAlign w:val="center"/>
          </w:tcPr>
          <w:p w:rsidR="003C3FCD" w:rsidRDefault="00343C0E">
            <w:pPr>
              <w:widowControl/>
              <w:jc w:val="center"/>
              <w:textAlignment w:val="center"/>
              <w:rPr>
                <w:rFonts w:cs="Times New Roman"/>
                <w:b/>
                <w:bCs/>
                <w:color w:val="000000" w:themeColor="text1"/>
                <w:kern w:val="0"/>
                <w:sz w:val="21"/>
                <w:szCs w:val="21"/>
              </w:rPr>
            </w:pPr>
            <w:r>
              <w:rPr>
                <w:rFonts w:cs="Times New Roman"/>
                <w:b/>
                <w:bCs/>
                <w:color w:val="000000"/>
                <w:kern w:val="0"/>
                <w:sz w:val="21"/>
                <w:szCs w:val="21"/>
                <w:lang w:bidi="ar"/>
              </w:rPr>
              <w:t>2023</w:t>
            </w:r>
            <w:r>
              <w:rPr>
                <w:rStyle w:val="font31"/>
                <w:rFonts w:ascii="Times New Roman" w:hAnsi="Times New Roman" w:cs="Times New Roman" w:hint="default"/>
                <w:b/>
                <w:bCs/>
                <w:lang w:bidi="ar"/>
              </w:rPr>
              <w:t>年度</w:t>
            </w:r>
            <w:r>
              <w:rPr>
                <w:rStyle w:val="font21"/>
                <w:lang w:bidi="ar"/>
              </w:rPr>
              <w:t>/2023.12.31</w:t>
            </w:r>
          </w:p>
        </w:tc>
        <w:tc>
          <w:tcPr>
            <w:tcW w:w="2700" w:type="dxa"/>
            <w:gridSpan w:val="2"/>
            <w:shd w:val="clear" w:color="auto" w:fill="auto"/>
            <w:vAlign w:val="center"/>
          </w:tcPr>
          <w:p w:rsidR="003C3FCD" w:rsidRDefault="00343C0E">
            <w:pPr>
              <w:widowControl/>
              <w:jc w:val="center"/>
              <w:textAlignment w:val="center"/>
              <w:rPr>
                <w:rStyle w:val="font11"/>
                <w:rFonts w:ascii="Times New Roman" w:hAnsi="Times New Roman" w:cs="Times New Roman" w:hint="default"/>
                <w:lang w:bidi="ar"/>
              </w:rPr>
            </w:pPr>
            <w:r>
              <w:rPr>
                <w:rFonts w:cs="Times New Roman"/>
                <w:b/>
                <w:bCs/>
                <w:color w:val="000000"/>
                <w:kern w:val="0"/>
                <w:sz w:val="21"/>
                <w:szCs w:val="21"/>
                <w:lang w:bidi="ar"/>
              </w:rPr>
              <w:t>2024</w:t>
            </w:r>
            <w:r>
              <w:rPr>
                <w:rStyle w:val="font11"/>
                <w:rFonts w:ascii="Times New Roman" w:hAnsi="Times New Roman" w:cs="Times New Roman" w:hint="default"/>
                <w:lang w:bidi="ar"/>
              </w:rPr>
              <w:t>年度</w:t>
            </w:r>
          </w:p>
          <w:p w:rsidR="003C3FCD" w:rsidRDefault="00343C0E" w:rsidP="00B3326D">
            <w:pPr>
              <w:widowControl/>
              <w:jc w:val="center"/>
              <w:textAlignment w:val="center"/>
              <w:rPr>
                <w:rFonts w:cs="Times New Roman"/>
                <w:b/>
                <w:bCs/>
                <w:color w:val="000000" w:themeColor="text1"/>
                <w:kern w:val="0"/>
                <w:sz w:val="21"/>
                <w:szCs w:val="21"/>
              </w:rPr>
            </w:pPr>
            <w:r>
              <w:rPr>
                <w:rStyle w:val="font21"/>
                <w:lang w:bidi="ar"/>
              </w:rPr>
              <w:t>/2024</w:t>
            </w:r>
            <w:r w:rsidR="00B3326D">
              <w:rPr>
                <w:rStyle w:val="font11"/>
                <w:rFonts w:ascii="Times New Roman" w:hAnsi="Times New Roman" w:cs="Times New Roman" w:hint="default"/>
                <w:lang w:bidi="ar"/>
              </w:rPr>
              <w:t>.</w:t>
            </w:r>
            <w:r w:rsidR="00B3326D">
              <w:rPr>
                <w:rStyle w:val="font21"/>
                <w:lang w:bidi="ar"/>
              </w:rPr>
              <w:t>12</w:t>
            </w:r>
            <w:r w:rsidR="00E95D25">
              <w:rPr>
                <w:rStyle w:val="font11"/>
                <w:rFonts w:ascii="Times New Roman" w:hAnsi="Times New Roman" w:cs="Times New Roman" w:hint="default"/>
                <w:lang w:bidi="ar"/>
              </w:rPr>
              <w:t>.</w:t>
            </w:r>
            <w:bookmarkStart w:id="52" w:name="_GoBack"/>
            <w:bookmarkEnd w:id="52"/>
            <w:r w:rsidR="00B3326D">
              <w:rPr>
                <w:rStyle w:val="font21"/>
                <w:lang w:bidi="ar"/>
              </w:rPr>
              <w:t>31</w:t>
            </w:r>
          </w:p>
        </w:tc>
      </w:tr>
      <w:tr w:rsidR="003C3FCD">
        <w:trPr>
          <w:trHeight w:val="290"/>
        </w:trPr>
        <w:tc>
          <w:tcPr>
            <w:tcW w:w="4510" w:type="dxa"/>
            <w:vMerge/>
            <w:shd w:val="clear" w:color="auto" w:fill="auto"/>
            <w:vAlign w:val="center"/>
          </w:tcPr>
          <w:p w:rsidR="003C3FCD" w:rsidRDefault="003C3FCD">
            <w:pPr>
              <w:jc w:val="center"/>
              <w:rPr>
                <w:rFonts w:cs="Times New Roman"/>
                <w:b/>
                <w:bCs/>
                <w:color w:val="000000" w:themeColor="text1"/>
                <w:kern w:val="0"/>
                <w:sz w:val="21"/>
                <w:szCs w:val="21"/>
              </w:rPr>
            </w:pPr>
          </w:p>
        </w:tc>
        <w:tc>
          <w:tcPr>
            <w:tcW w:w="1312" w:type="dxa"/>
            <w:vMerge/>
            <w:shd w:val="clear" w:color="auto" w:fill="auto"/>
            <w:vAlign w:val="center"/>
          </w:tcPr>
          <w:p w:rsidR="003C3FCD" w:rsidRDefault="003C3FCD">
            <w:pPr>
              <w:jc w:val="center"/>
              <w:rPr>
                <w:rFonts w:cs="Times New Roman"/>
                <w:b/>
                <w:bCs/>
                <w:color w:val="000000" w:themeColor="text1"/>
                <w:kern w:val="0"/>
                <w:sz w:val="21"/>
                <w:szCs w:val="21"/>
              </w:rPr>
            </w:pPr>
          </w:p>
        </w:tc>
        <w:tc>
          <w:tcPr>
            <w:tcW w:w="1353" w:type="dxa"/>
            <w:shd w:val="clear" w:color="auto" w:fill="auto"/>
            <w:vAlign w:val="center"/>
          </w:tcPr>
          <w:p w:rsidR="003C3FCD" w:rsidRDefault="00343C0E">
            <w:pPr>
              <w:widowControl/>
              <w:jc w:val="center"/>
              <w:textAlignment w:val="center"/>
              <w:rPr>
                <w:rFonts w:cs="Times New Roman"/>
                <w:b/>
                <w:bCs/>
                <w:color w:val="000000" w:themeColor="text1"/>
                <w:kern w:val="0"/>
                <w:sz w:val="21"/>
                <w:szCs w:val="21"/>
              </w:rPr>
            </w:pPr>
            <w:r>
              <w:rPr>
                <w:rFonts w:cs="Times New Roman"/>
                <w:b/>
                <w:bCs/>
                <w:color w:val="000000"/>
                <w:kern w:val="0"/>
                <w:sz w:val="21"/>
                <w:szCs w:val="21"/>
                <w:lang w:bidi="ar"/>
              </w:rPr>
              <w:t>发行前</w:t>
            </w:r>
          </w:p>
        </w:tc>
        <w:tc>
          <w:tcPr>
            <w:tcW w:w="1347" w:type="dxa"/>
            <w:shd w:val="clear" w:color="auto" w:fill="auto"/>
            <w:vAlign w:val="center"/>
          </w:tcPr>
          <w:p w:rsidR="003C3FCD" w:rsidRDefault="00343C0E">
            <w:pPr>
              <w:widowControl/>
              <w:jc w:val="center"/>
              <w:textAlignment w:val="center"/>
              <w:rPr>
                <w:rFonts w:cs="Times New Roman"/>
                <w:b/>
                <w:bCs/>
                <w:color w:val="000000" w:themeColor="text1"/>
                <w:kern w:val="0"/>
                <w:sz w:val="21"/>
                <w:szCs w:val="21"/>
              </w:rPr>
            </w:pPr>
            <w:r>
              <w:rPr>
                <w:rFonts w:cs="Times New Roman"/>
                <w:b/>
                <w:bCs/>
                <w:color w:val="000000"/>
                <w:kern w:val="0"/>
                <w:sz w:val="21"/>
                <w:szCs w:val="21"/>
                <w:lang w:bidi="ar"/>
              </w:rPr>
              <w:t>发行后</w:t>
            </w:r>
          </w:p>
        </w:tc>
      </w:tr>
      <w:tr w:rsidR="003C3FCD">
        <w:trPr>
          <w:trHeight w:val="102"/>
        </w:trPr>
        <w:tc>
          <w:tcPr>
            <w:tcW w:w="4510" w:type="dxa"/>
            <w:shd w:val="clear" w:color="auto" w:fill="auto"/>
            <w:vAlign w:val="center"/>
          </w:tcPr>
          <w:p w:rsidR="003C3FCD" w:rsidRDefault="00343C0E">
            <w:pPr>
              <w:widowControl/>
              <w:jc w:val="left"/>
              <w:textAlignment w:val="center"/>
              <w:rPr>
                <w:rFonts w:cs="Times New Roman"/>
                <w:color w:val="000000" w:themeColor="text1"/>
                <w:kern w:val="0"/>
                <w:sz w:val="21"/>
                <w:szCs w:val="21"/>
              </w:rPr>
            </w:pPr>
            <w:r>
              <w:rPr>
                <w:rFonts w:cs="Times New Roman"/>
                <w:color w:val="000000"/>
                <w:kern w:val="0"/>
                <w:sz w:val="21"/>
                <w:szCs w:val="21"/>
                <w:lang w:bidi="ar"/>
              </w:rPr>
              <w:t>期末发行在外的普通股股数</w:t>
            </w:r>
            <w:r>
              <w:rPr>
                <w:rFonts w:cs="Times New Roman"/>
                <w:color w:val="000000"/>
                <w:kern w:val="0"/>
                <w:sz w:val="21"/>
                <w:szCs w:val="21"/>
                <w:lang w:bidi="ar"/>
              </w:rPr>
              <w:t>(</w:t>
            </w:r>
            <w:r>
              <w:rPr>
                <w:rFonts w:cs="Times New Roman"/>
                <w:color w:val="000000"/>
                <w:kern w:val="0"/>
                <w:sz w:val="21"/>
                <w:szCs w:val="21"/>
                <w:lang w:bidi="ar"/>
              </w:rPr>
              <w:t>万股</w:t>
            </w:r>
            <w:r>
              <w:rPr>
                <w:rFonts w:cs="Times New Roman"/>
                <w:color w:val="000000"/>
                <w:kern w:val="0"/>
                <w:sz w:val="21"/>
                <w:szCs w:val="21"/>
                <w:lang w:bidi="ar"/>
              </w:rPr>
              <w:t>)</w:t>
            </w:r>
          </w:p>
        </w:tc>
        <w:tc>
          <w:tcPr>
            <w:tcW w:w="1312" w:type="dxa"/>
            <w:shd w:val="clear" w:color="auto" w:fill="auto"/>
            <w:vAlign w:val="center"/>
          </w:tcPr>
          <w:p w:rsidR="003C3FCD" w:rsidRDefault="00343C0E">
            <w:pPr>
              <w:widowControl/>
              <w:jc w:val="right"/>
              <w:textAlignment w:val="center"/>
              <w:rPr>
                <w:rFonts w:cs="Times New Roman"/>
                <w:color w:val="000000" w:themeColor="text1"/>
                <w:kern w:val="0"/>
                <w:sz w:val="21"/>
                <w:szCs w:val="21"/>
              </w:rPr>
            </w:pPr>
            <w:r>
              <w:rPr>
                <w:rFonts w:cs="Times New Roman"/>
                <w:color w:val="000000"/>
                <w:kern w:val="0"/>
                <w:sz w:val="21"/>
                <w:szCs w:val="21"/>
                <w:lang w:bidi="ar"/>
              </w:rPr>
              <w:t>35,265.86</w:t>
            </w:r>
          </w:p>
        </w:tc>
        <w:tc>
          <w:tcPr>
            <w:tcW w:w="1353" w:type="dxa"/>
            <w:shd w:val="clear" w:color="auto" w:fill="auto"/>
            <w:vAlign w:val="center"/>
          </w:tcPr>
          <w:p w:rsidR="003C3FCD" w:rsidRDefault="00343C0E">
            <w:pPr>
              <w:widowControl/>
              <w:jc w:val="right"/>
              <w:textAlignment w:val="center"/>
              <w:rPr>
                <w:rFonts w:cs="Times New Roman"/>
                <w:color w:val="000000" w:themeColor="text1"/>
                <w:kern w:val="0"/>
                <w:sz w:val="21"/>
                <w:szCs w:val="21"/>
              </w:rPr>
            </w:pPr>
            <w:r>
              <w:rPr>
                <w:rFonts w:cs="Times New Roman"/>
                <w:color w:val="000000"/>
                <w:kern w:val="0"/>
                <w:sz w:val="21"/>
                <w:szCs w:val="21"/>
                <w:lang w:bidi="ar"/>
              </w:rPr>
              <w:t>35,265.86</w:t>
            </w:r>
          </w:p>
        </w:tc>
        <w:tc>
          <w:tcPr>
            <w:tcW w:w="1347" w:type="dxa"/>
            <w:shd w:val="clear" w:color="auto" w:fill="auto"/>
            <w:vAlign w:val="center"/>
          </w:tcPr>
          <w:p w:rsidR="003C3FCD" w:rsidRDefault="00343C0E">
            <w:pPr>
              <w:widowControl/>
              <w:jc w:val="right"/>
              <w:textAlignment w:val="center"/>
              <w:rPr>
                <w:rFonts w:cs="Times New Roman"/>
                <w:color w:val="000000" w:themeColor="text1"/>
                <w:kern w:val="0"/>
                <w:sz w:val="21"/>
                <w:szCs w:val="21"/>
              </w:rPr>
            </w:pPr>
            <w:r>
              <w:rPr>
                <w:rFonts w:cs="Times New Roman"/>
                <w:color w:val="000000"/>
                <w:kern w:val="0"/>
                <w:sz w:val="21"/>
                <w:szCs w:val="21"/>
                <w:lang w:bidi="ar"/>
              </w:rPr>
              <w:t>40,316.37</w:t>
            </w:r>
          </w:p>
        </w:tc>
      </w:tr>
      <w:tr w:rsidR="003C3FCD">
        <w:trPr>
          <w:trHeight w:val="620"/>
        </w:trPr>
        <w:tc>
          <w:tcPr>
            <w:tcW w:w="8522" w:type="dxa"/>
            <w:gridSpan w:val="4"/>
            <w:shd w:val="clear" w:color="auto" w:fill="auto"/>
            <w:vAlign w:val="center"/>
          </w:tcPr>
          <w:p w:rsidR="003C3FCD" w:rsidRDefault="00343C0E">
            <w:pPr>
              <w:widowControl/>
              <w:jc w:val="left"/>
              <w:textAlignment w:val="center"/>
              <w:rPr>
                <w:rFonts w:cs="Times New Roman"/>
                <w:b/>
                <w:bCs/>
                <w:color w:val="000000" w:themeColor="text1"/>
                <w:kern w:val="0"/>
                <w:sz w:val="21"/>
                <w:szCs w:val="21"/>
              </w:rPr>
            </w:pPr>
            <w:r>
              <w:rPr>
                <w:rFonts w:cs="Times New Roman"/>
                <w:b/>
                <w:bCs/>
                <w:color w:val="000000"/>
                <w:kern w:val="0"/>
                <w:sz w:val="21"/>
                <w:szCs w:val="21"/>
                <w:lang w:bidi="ar"/>
              </w:rPr>
              <w:t>情形</w:t>
            </w:r>
            <w:r>
              <w:rPr>
                <w:rStyle w:val="font41"/>
                <w:b/>
                <w:bCs/>
                <w:lang w:bidi="ar"/>
              </w:rPr>
              <w:t>1</w:t>
            </w:r>
            <w:r>
              <w:rPr>
                <w:rStyle w:val="font31"/>
                <w:rFonts w:ascii="Times New Roman" w:hAnsi="Times New Roman" w:cs="Times New Roman" w:hint="default"/>
                <w:b/>
                <w:bCs/>
                <w:lang w:bidi="ar"/>
              </w:rPr>
              <w:t>：</w:t>
            </w:r>
            <w:r>
              <w:rPr>
                <w:rStyle w:val="font41"/>
                <w:b/>
                <w:bCs/>
                <w:lang w:bidi="ar"/>
              </w:rPr>
              <w:t>2024</w:t>
            </w:r>
            <w:r>
              <w:rPr>
                <w:rStyle w:val="font31"/>
                <w:rFonts w:ascii="Times New Roman" w:hAnsi="Times New Roman" w:cs="Times New Roman" w:hint="default"/>
                <w:b/>
                <w:bCs/>
                <w:lang w:bidi="ar"/>
              </w:rPr>
              <w:t>年度归属于母公司股东的净利润及扣除非经常性损益后归属于母公司股东的净利润较</w:t>
            </w:r>
            <w:r>
              <w:rPr>
                <w:rStyle w:val="font41"/>
                <w:b/>
                <w:bCs/>
                <w:lang w:bidi="ar"/>
              </w:rPr>
              <w:t>2023</w:t>
            </w:r>
            <w:r>
              <w:rPr>
                <w:rStyle w:val="font31"/>
                <w:rFonts w:ascii="Times New Roman" w:hAnsi="Times New Roman" w:cs="Times New Roman" w:hint="default"/>
                <w:b/>
                <w:bCs/>
                <w:lang w:bidi="ar"/>
              </w:rPr>
              <w:t>年度数据下降</w:t>
            </w:r>
            <w:r>
              <w:rPr>
                <w:rStyle w:val="font41"/>
                <w:b/>
                <w:bCs/>
                <w:lang w:bidi="ar"/>
              </w:rPr>
              <w:t>20%</w:t>
            </w:r>
          </w:p>
        </w:tc>
      </w:tr>
      <w:tr w:rsidR="003C3FCD">
        <w:trPr>
          <w:trHeight w:val="320"/>
        </w:trPr>
        <w:tc>
          <w:tcPr>
            <w:tcW w:w="4510" w:type="dxa"/>
            <w:shd w:val="clear" w:color="auto" w:fill="auto"/>
            <w:vAlign w:val="center"/>
          </w:tcPr>
          <w:p w:rsidR="003C3FCD" w:rsidRDefault="00343C0E">
            <w:pPr>
              <w:widowControl/>
              <w:jc w:val="left"/>
              <w:textAlignment w:val="center"/>
              <w:rPr>
                <w:rFonts w:cs="Times New Roman"/>
                <w:color w:val="000000" w:themeColor="text1"/>
                <w:kern w:val="0"/>
                <w:sz w:val="21"/>
                <w:szCs w:val="21"/>
              </w:rPr>
            </w:pPr>
            <w:r>
              <w:rPr>
                <w:rFonts w:cs="Times New Roman"/>
                <w:color w:val="000000"/>
                <w:kern w:val="0"/>
                <w:sz w:val="21"/>
                <w:szCs w:val="21"/>
                <w:lang w:bidi="ar"/>
              </w:rPr>
              <w:t>归属于公司普通股股东的净利润</w:t>
            </w:r>
            <w:r>
              <w:rPr>
                <w:rFonts w:cs="Times New Roman"/>
                <w:color w:val="000000"/>
                <w:kern w:val="0"/>
                <w:sz w:val="21"/>
                <w:szCs w:val="21"/>
                <w:lang w:bidi="ar"/>
              </w:rPr>
              <w:t>(</w:t>
            </w:r>
            <w:r>
              <w:rPr>
                <w:rFonts w:cs="Times New Roman"/>
                <w:color w:val="000000"/>
                <w:kern w:val="0"/>
                <w:sz w:val="21"/>
                <w:szCs w:val="21"/>
                <w:lang w:bidi="ar"/>
              </w:rPr>
              <w:t>万元</w:t>
            </w:r>
            <w:r>
              <w:rPr>
                <w:rFonts w:cs="Times New Roman"/>
                <w:color w:val="000000"/>
                <w:kern w:val="0"/>
                <w:sz w:val="21"/>
                <w:szCs w:val="21"/>
                <w:lang w:bidi="ar"/>
              </w:rPr>
              <w:t>)</w:t>
            </w:r>
          </w:p>
        </w:tc>
        <w:tc>
          <w:tcPr>
            <w:tcW w:w="1312" w:type="dxa"/>
            <w:shd w:val="clear" w:color="auto" w:fill="auto"/>
            <w:vAlign w:val="center"/>
          </w:tcPr>
          <w:p w:rsidR="003C3FCD" w:rsidRDefault="00343C0E">
            <w:pPr>
              <w:widowControl/>
              <w:jc w:val="right"/>
              <w:textAlignment w:val="center"/>
              <w:rPr>
                <w:rFonts w:cs="Times New Roman"/>
                <w:color w:val="000000" w:themeColor="text1"/>
                <w:kern w:val="0"/>
                <w:sz w:val="21"/>
                <w:szCs w:val="21"/>
              </w:rPr>
            </w:pPr>
            <w:r>
              <w:rPr>
                <w:rFonts w:cs="Times New Roman"/>
                <w:color w:val="000000"/>
                <w:kern w:val="0"/>
                <w:sz w:val="21"/>
                <w:szCs w:val="21"/>
                <w:lang w:bidi="ar"/>
              </w:rPr>
              <w:t>1,337.82</w:t>
            </w:r>
          </w:p>
        </w:tc>
        <w:tc>
          <w:tcPr>
            <w:tcW w:w="1353" w:type="dxa"/>
            <w:shd w:val="clear" w:color="auto" w:fill="auto"/>
            <w:vAlign w:val="center"/>
          </w:tcPr>
          <w:p w:rsidR="003C3FCD" w:rsidRDefault="00343C0E">
            <w:pPr>
              <w:widowControl/>
              <w:jc w:val="right"/>
              <w:textAlignment w:val="center"/>
              <w:rPr>
                <w:rFonts w:cs="Times New Roman"/>
                <w:color w:val="000000" w:themeColor="text1"/>
                <w:kern w:val="0"/>
                <w:sz w:val="21"/>
                <w:szCs w:val="21"/>
              </w:rPr>
            </w:pPr>
            <w:r>
              <w:rPr>
                <w:rFonts w:cs="Times New Roman"/>
                <w:color w:val="000000"/>
                <w:kern w:val="0"/>
                <w:sz w:val="21"/>
                <w:szCs w:val="21"/>
                <w:lang w:bidi="ar"/>
              </w:rPr>
              <w:t>1,070.26</w:t>
            </w:r>
          </w:p>
        </w:tc>
        <w:tc>
          <w:tcPr>
            <w:tcW w:w="1347" w:type="dxa"/>
            <w:shd w:val="clear" w:color="auto" w:fill="auto"/>
            <w:vAlign w:val="center"/>
          </w:tcPr>
          <w:p w:rsidR="003C3FCD" w:rsidRDefault="00343C0E">
            <w:pPr>
              <w:widowControl/>
              <w:jc w:val="right"/>
              <w:textAlignment w:val="center"/>
              <w:rPr>
                <w:rFonts w:cs="Times New Roman"/>
                <w:color w:val="000000" w:themeColor="text1"/>
                <w:kern w:val="0"/>
                <w:sz w:val="21"/>
                <w:szCs w:val="21"/>
              </w:rPr>
            </w:pPr>
            <w:r>
              <w:rPr>
                <w:rFonts w:cs="Times New Roman"/>
                <w:color w:val="000000"/>
                <w:kern w:val="0"/>
                <w:sz w:val="21"/>
                <w:szCs w:val="21"/>
                <w:lang w:bidi="ar"/>
              </w:rPr>
              <w:t>1,070.26</w:t>
            </w:r>
          </w:p>
        </w:tc>
      </w:tr>
      <w:tr w:rsidR="003C3FCD">
        <w:trPr>
          <w:trHeight w:val="550"/>
        </w:trPr>
        <w:tc>
          <w:tcPr>
            <w:tcW w:w="4510" w:type="dxa"/>
            <w:shd w:val="clear" w:color="auto" w:fill="auto"/>
            <w:vAlign w:val="center"/>
          </w:tcPr>
          <w:p w:rsidR="003C3FCD" w:rsidRDefault="00343C0E">
            <w:pPr>
              <w:widowControl/>
              <w:jc w:val="left"/>
              <w:textAlignment w:val="center"/>
              <w:rPr>
                <w:rFonts w:cs="Times New Roman"/>
                <w:color w:val="000000" w:themeColor="text1"/>
                <w:kern w:val="0"/>
                <w:sz w:val="21"/>
                <w:szCs w:val="21"/>
              </w:rPr>
            </w:pPr>
            <w:r>
              <w:rPr>
                <w:rFonts w:cs="Times New Roman"/>
                <w:color w:val="000000"/>
                <w:kern w:val="0"/>
                <w:sz w:val="21"/>
                <w:szCs w:val="21"/>
                <w:lang w:bidi="ar"/>
              </w:rPr>
              <w:t>扣除非经常性损益后归属于公司普通股股东的净利润</w:t>
            </w:r>
            <w:r>
              <w:rPr>
                <w:rFonts w:cs="Times New Roman"/>
                <w:color w:val="000000"/>
                <w:kern w:val="0"/>
                <w:sz w:val="21"/>
                <w:szCs w:val="21"/>
                <w:lang w:bidi="ar"/>
              </w:rPr>
              <w:t>(</w:t>
            </w:r>
            <w:r>
              <w:rPr>
                <w:rFonts w:cs="Times New Roman"/>
                <w:color w:val="000000"/>
                <w:kern w:val="0"/>
                <w:sz w:val="21"/>
                <w:szCs w:val="21"/>
                <w:lang w:bidi="ar"/>
              </w:rPr>
              <w:t>万元</w:t>
            </w:r>
            <w:r>
              <w:rPr>
                <w:rFonts w:cs="Times New Roman"/>
                <w:color w:val="000000"/>
                <w:kern w:val="0"/>
                <w:sz w:val="21"/>
                <w:szCs w:val="21"/>
                <w:lang w:bidi="ar"/>
              </w:rPr>
              <w:t>)</w:t>
            </w:r>
          </w:p>
        </w:tc>
        <w:tc>
          <w:tcPr>
            <w:tcW w:w="1312" w:type="dxa"/>
            <w:shd w:val="clear" w:color="auto" w:fill="auto"/>
            <w:vAlign w:val="center"/>
          </w:tcPr>
          <w:p w:rsidR="003C3FCD" w:rsidRDefault="00343C0E">
            <w:pPr>
              <w:widowControl/>
              <w:jc w:val="right"/>
              <w:textAlignment w:val="center"/>
              <w:rPr>
                <w:rFonts w:cs="Times New Roman"/>
                <w:color w:val="000000" w:themeColor="text1"/>
                <w:kern w:val="0"/>
                <w:sz w:val="21"/>
                <w:szCs w:val="21"/>
              </w:rPr>
            </w:pPr>
            <w:r>
              <w:rPr>
                <w:rFonts w:cs="Times New Roman"/>
                <w:color w:val="000000"/>
                <w:kern w:val="0"/>
                <w:sz w:val="21"/>
                <w:szCs w:val="21"/>
                <w:lang w:bidi="ar"/>
              </w:rPr>
              <w:t>230.81</w:t>
            </w:r>
          </w:p>
        </w:tc>
        <w:tc>
          <w:tcPr>
            <w:tcW w:w="1353" w:type="dxa"/>
            <w:shd w:val="clear" w:color="auto" w:fill="auto"/>
            <w:vAlign w:val="center"/>
          </w:tcPr>
          <w:p w:rsidR="003C3FCD" w:rsidRDefault="00343C0E">
            <w:pPr>
              <w:widowControl/>
              <w:jc w:val="right"/>
              <w:textAlignment w:val="center"/>
              <w:rPr>
                <w:rFonts w:cs="Times New Roman"/>
                <w:color w:val="000000" w:themeColor="text1"/>
                <w:kern w:val="0"/>
                <w:sz w:val="21"/>
                <w:szCs w:val="21"/>
              </w:rPr>
            </w:pPr>
            <w:r>
              <w:rPr>
                <w:rFonts w:cs="Times New Roman"/>
                <w:color w:val="000000"/>
                <w:kern w:val="0"/>
                <w:sz w:val="21"/>
                <w:szCs w:val="21"/>
                <w:lang w:bidi="ar"/>
              </w:rPr>
              <w:t>184.65</w:t>
            </w:r>
          </w:p>
        </w:tc>
        <w:tc>
          <w:tcPr>
            <w:tcW w:w="1347" w:type="dxa"/>
            <w:shd w:val="clear" w:color="auto" w:fill="auto"/>
            <w:vAlign w:val="center"/>
          </w:tcPr>
          <w:p w:rsidR="003C3FCD" w:rsidRDefault="00343C0E">
            <w:pPr>
              <w:widowControl/>
              <w:jc w:val="right"/>
              <w:textAlignment w:val="center"/>
              <w:rPr>
                <w:rFonts w:cs="Times New Roman"/>
                <w:color w:val="000000" w:themeColor="text1"/>
                <w:kern w:val="0"/>
                <w:sz w:val="21"/>
                <w:szCs w:val="21"/>
              </w:rPr>
            </w:pPr>
            <w:r>
              <w:rPr>
                <w:rFonts w:cs="Times New Roman"/>
                <w:color w:val="000000"/>
                <w:kern w:val="0"/>
                <w:sz w:val="21"/>
                <w:szCs w:val="21"/>
                <w:lang w:bidi="ar"/>
              </w:rPr>
              <w:t>184.65</w:t>
            </w:r>
          </w:p>
        </w:tc>
      </w:tr>
      <w:tr w:rsidR="003C3FCD">
        <w:trPr>
          <w:trHeight w:val="290"/>
        </w:trPr>
        <w:tc>
          <w:tcPr>
            <w:tcW w:w="4510" w:type="dxa"/>
            <w:shd w:val="clear" w:color="auto" w:fill="auto"/>
            <w:vAlign w:val="center"/>
          </w:tcPr>
          <w:p w:rsidR="003C3FCD" w:rsidRDefault="00343C0E">
            <w:pPr>
              <w:widowControl/>
              <w:jc w:val="left"/>
              <w:textAlignment w:val="center"/>
              <w:rPr>
                <w:rFonts w:cs="Times New Roman"/>
                <w:color w:val="000000" w:themeColor="text1"/>
                <w:kern w:val="0"/>
                <w:sz w:val="21"/>
                <w:szCs w:val="21"/>
              </w:rPr>
            </w:pPr>
            <w:r>
              <w:rPr>
                <w:rStyle w:val="font31"/>
                <w:rFonts w:ascii="Times New Roman" w:hAnsi="Times New Roman" w:cs="Times New Roman" w:hint="default"/>
                <w:lang w:bidi="ar"/>
              </w:rPr>
              <w:t>基本每股收益</w:t>
            </w:r>
            <w:r>
              <w:rPr>
                <w:rStyle w:val="font31"/>
                <w:rFonts w:ascii="Times New Roman" w:hAnsi="Times New Roman" w:cs="Times New Roman" w:hint="default"/>
                <w:lang w:bidi="ar"/>
              </w:rPr>
              <w:t>(</w:t>
            </w:r>
            <w:r>
              <w:rPr>
                <w:rStyle w:val="font31"/>
                <w:rFonts w:ascii="Times New Roman" w:hAnsi="Times New Roman" w:cs="Times New Roman" w:hint="default"/>
                <w:lang w:bidi="ar"/>
              </w:rPr>
              <w:t>元</w:t>
            </w:r>
            <w:r>
              <w:rPr>
                <w:rStyle w:val="font41"/>
                <w:lang w:bidi="ar"/>
              </w:rPr>
              <w:t>/</w:t>
            </w:r>
            <w:r>
              <w:rPr>
                <w:rStyle w:val="font31"/>
                <w:rFonts w:ascii="Times New Roman" w:hAnsi="Times New Roman" w:cs="Times New Roman" w:hint="default"/>
                <w:lang w:bidi="ar"/>
              </w:rPr>
              <w:t>股</w:t>
            </w:r>
            <w:r>
              <w:rPr>
                <w:rStyle w:val="font31"/>
                <w:rFonts w:ascii="Times New Roman" w:hAnsi="Times New Roman" w:cs="Times New Roman" w:hint="default"/>
                <w:lang w:bidi="ar"/>
              </w:rPr>
              <w:t>)</w:t>
            </w:r>
          </w:p>
        </w:tc>
        <w:tc>
          <w:tcPr>
            <w:tcW w:w="1312" w:type="dxa"/>
            <w:shd w:val="clear" w:color="auto" w:fill="auto"/>
            <w:vAlign w:val="center"/>
          </w:tcPr>
          <w:p w:rsidR="003C3FCD" w:rsidRDefault="00343C0E">
            <w:pPr>
              <w:widowControl/>
              <w:jc w:val="right"/>
              <w:textAlignment w:val="center"/>
              <w:rPr>
                <w:rFonts w:cs="Times New Roman"/>
                <w:snapToGrid w:val="0"/>
                <w:color w:val="000000" w:themeColor="text1"/>
                <w:kern w:val="0"/>
                <w:sz w:val="21"/>
                <w:szCs w:val="21"/>
              </w:rPr>
            </w:pPr>
            <w:r>
              <w:rPr>
                <w:rFonts w:cs="Times New Roman"/>
                <w:color w:val="000000"/>
                <w:kern w:val="0"/>
                <w:sz w:val="21"/>
                <w:szCs w:val="21"/>
                <w:lang w:bidi="ar"/>
              </w:rPr>
              <w:t>0.0379</w:t>
            </w:r>
          </w:p>
        </w:tc>
        <w:tc>
          <w:tcPr>
            <w:tcW w:w="1353" w:type="dxa"/>
            <w:shd w:val="clear" w:color="auto" w:fill="auto"/>
            <w:vAlign w:val="center"/>
          </w:tcPr>
          <w:p w:rsidR="003C3FCD" w:rsidRDefault="00343C0E">
            <w:pPr>
              <w:widowControl/>
              <w:jc w:val="right"/>
              <w:textAlignment w:val="center"/>
              <w:rPr>
                <w:rFonts w:cs="Times New Roman"/>
                <w:snapToGrid w:val="0"/>
                <w:color w:val="000000" w:themeColor="text1"/>
                <w:kern w:val="0"/>
                <w:sz w:val="21"/>
                <w:szCs w:val="21"/>
              </w:rPr>
            </w:pPr>
            <w:r>
              <w:rPr>
                <w:rFonts w:cs="Times New Roman"/>
                <w:color w:val="000000"/>
                <w:kern w:val="0"/>
                <w:sz w:val="21"/>
                <w:szCs w:val="21"/>
                <w:lang w:bidi="ar"/>
              </w:rPr>
              <w:t>0.0303</w:t>
            </w:r>
          </w:p>
        </w:tc>
        <w:tc>
          <w:tcPr>
            <w:tcW w:w="1347" w:type="dxa"/>
            <w:shd w:val="clear" w:color="auto" w:fill="auto"/>
            <w:vAlign w:val="center"/>
          </w:tcPr>
          <w:p w:rsidR="003C3FCD" w:rsidRDefault="00343C0E">
            <w:pPr>
              <w:widowControl/>
              <w:jc w:val="right"/>
              <w:textAlignment w:val="center"/>
              <w:rPr>
                <w:rFonts w:eastAsia="Arial" w:cs="Times New Roman"/>
                <w:snapToGrid w:val="0"/>
                <w:color w:val="000000" w:themeColor="text1"/>
                <w:kern w:val="0"/>
                <w:sz w:val="21"/>
                <w:szCs w:val="21"/>
              </w:rPr>
            </w:pPr>
            <w:r>
              <w:rPr>
                <w:rFonts w:cs="Times New Roman"/>
                <w:color w:val="000000"/>
                <w:kern w:val="0"/>
                <w:sz w:val="21"/>
                <w:szCs w:val="21"/>
                <w:lang w:bidi="ar"/>
              </w:rPr>
              <w:t>0.0274</w:t>
            </w:r>
          </w:p>
        </w:tc>
      </w:tr>
      <w:tr w:rsidR="003C3FCD">
        <w:trPr>
          <w:trHeight w:val="290"/>
        </w:trPr>
        <w:tc>
          <w:tcPr>
            <w:tcW w:w="4510" w:type="dxa"/>
            <w:shd w:val="clear" w:color="auto" w:fill="auto"/>
            <w:vAlign w:val="center"/>
          </w:tcPr>
          <w:p w:rsidR="003C3FCD" w:rsidRDefault="00343C0E">
            <w:pPr>
              <w:widowControl/>
              <w:jc w:val="left"/>
              <w:textAlignment w:val="center"/>
              <w:rPr>
                <w:rFonts w:cs="Times New Roman"/>
                <w:color w:val="000000" w:themeColor="text1"/>
                <w:kern w:val="0"/>
                <w:sz w:val="21"/>
                <w:szCs w:val="21"/>
              </w:rPr>
            </w:pPr>
            <w:r>
              <w:rPr>
                <w:rStyle w:val="font31"/>
                <w:rFonts w:ascii="Times New Roman" w:hAnsi="Times New Roman" w:cs="Times New Roman" w:hint="default"/>
                <w:lang w:bidi="ar"/>
              </w:rPr>
              <w:t>稀释每股收益</w:t>
            </w:r>
            <w:r>
              <w:rPr>
                <w:rStyle w:val="font31"/>
                <w:rFonts w:ascii="Times New Roman" w:hAnsi="Times New Roman" w:cs="Times New Roman" w:hint="default"/>
                <w:lang w:bidi="ar"/>
              </w:rPr>
              <w:t>(</w:t>
            </w:r>
            <w:r>
              <w:rPr>
                <w:rStyle w:val="font31"/>
                <w:rFonts w:ascii="Times New Roman" w:hAnsi="Times New Roman" w:cs="Times New Roman" w:hint="default"/>
                <w:lang w:bidi="ar"/>
              </w:rPr>
              <w:t>元</w:t>
            </w:r>
            <w:r>
              <w:rPr>
                <w:rStyle w:val="font41"/>
                <w:lang w:bidi="ar"/>
              </w:rPr>
              <w:t>/</w:t>
            </w:r>
            <w:r>
              <w:rPr>
                <w:rStyle w:val="font31"/>
                <w:rFonts w:ascii="Times New Roman" w:hAnsi="Times New Roman" w:cs="Times New Roman" w:hint="default"/>
                <w:lang w:bidi="ar"/>
              </w:rPr>
              <w:t>股</w:t>
            </w:r>
            <w:r>
              <w:rPr>
                <w:rStyle w:val="font31"/>
                <w:rFonts w:ascii="Times New Roman" w:hAnsi="Times New Roman" w:cs="Times New Roman" w:hint="default"/>
                <w:lang w:bidi="ar"/>
              </w:rPr>
              <w:t>)</w:t>
            </w:r>
          </w:p>
        </w:tc>
        <w:tc>
          <w:tcPr>
            <w:tcW w:w="1312" w:type="dxa"/>
            <w:shd w:val="clear" w:color="auto" w:fill="auto"/>
            <w:vAlign w:val="center"/>
          </w:tcPr>
          <w:p w:rsidR="003C3FCD" w:rsidRDefault="00343C0E">
            <w:pPr>
              <w:widowControl/>
              <w:jc w:val="right"/>
              <w:textAlignment w:val="center"/>
              <w:rPr>
                <w:rFonts w:cs="Times New Roman"/>
                <w:snapToGrid w:val="0"/>
                <w:color w:val="000000" w:themeColor="text1"/>
                <w:kern w:val="0"/>
                <w:sz w:val="21"/>
                <w:szCs w:val="21"/>
              </w:rPr>
            </w:pPr>
            <w:r>
              <w:rPr>
                <w:rFonts w:cs="Times New Roman"/>
                <w:color w:val="000000"/>
                <w:kern w:val="0"/>
                <w:sz w:val="21"/>
                <w:szCs w:val="21"/>
                <w:lang w:bidi="ar"/>
              </w:rPr>
              <w:t>0.0379</w:t>
            </w:r>
          </w:p>
        </w:tc>
        <w:tc>
          <w:tcPr>
            <w:tcW w:w="1353" w:type="dxa"/>
            <w:shd w:val="clear" w:color="auto" w:fill="auto"/>
            <w:vAlign w:val="center"/>
          </w:tcPr>
          <w:p w:rsidR="003C3FCD" w:rsidRDefault="00343C0E">
            <w:pPr>
              <w:widowControl/>
              <w:jc w:val="right"/>
              <w:textAlignment w:val="center"/>
              <w:rPr>
                <w:rFonts w:cs="Times New Roman"/>
                <w:snapToGrid w:val="0"/>
                <w:color w:val="000000" w:themeColor="text1"/>
                <w:kern w:val="0"/>
                <w:sz w:val="21"/>
                <w:szCs w:val="21"/>
              </w:rPr>
            </w:pPr>
            <w:r>
              <w:rPr>
                <w:rFonts w:cs="Times New Roman"/>
                <w:color w:val="000000"/>
                <w:kern w:val="0"/>
                <w:sz w:val="21"/>
                <w:szCs w:val="21"/>
                <w:lang w:bidi="ar"/>
              </w:rPr>
              <w:t>0.0303</w:t>
            </w:r>
          </w:p>
        </w:tc>
        <w:tc>
          <w:tcPr>
            <w:tcW w:w="1347" w:type="dxa"/>
            <w:shd w:val="clear" w:color="auto" w:fill="auto"/>
            <w:vAlign w:val="center"/>
          </w:tcPr>
          <w:p w:rsidR="003C3FCD" w:rsidRDefault="00343C0E">
            <w:pPr>
              <w:widowControl/>
              <w:jc w:val="right"/>
              <w:textAlignment w:val="center"/>
              <w:rPr>
                <w:rFonts w:eastAsia="Arial" w:cs="Times New Roman"/>
                <w:snapToGrid w:val="0"/>
                <w:color w:val="000000" w:themeColor="text1"/>
                <w:kern w:val="0"/>
                <w:sz w:val="21"/>
                <w:szCs w:val="21"/>
              </w:rPr>
            </w:pPr>
            <w:r>
              <w:rPr>
                <w:rFonts w:cs="Times New Roman"/>
                <w:color w:val="000000"/>
                <w:kern w:val="0"/>
                <w:sz w:val="21"/>
                <w:szCs w:val="21"/>
                <w:lang w:bidi="ar"/>
              </w:rPr>
              <w:t>0.0274</w:t>
            </w:r>
          </w:p>
        </w:tc>
      </w:tr>
      <w:tr w:rsidR="003C3FCD">
        <w:trPr>
          <w:trHeight w:val="290"/>
        </w:trPr>
        <w:tc>
          <w:tcPr>
            <w:tcW w:w="4510" w:type="dxa"/>
            <w:shd w:val="clear" w:color="auto" w:fill="auto"/>
            <w:vAlign w:val="center"/>
          </w:tcPr>
          <w:p w:rsidR="003C3FCD" w:rsidRDefault="00343C0E">
            <w:pPr>
              <w:widowControl/>
              <w:jc w:val="left"/>
              <w:textAlignment w:val="center"/>
              <w:rPr>
                <w:rFonts w:cs="Times New Roman"/>
                <w:color w:val="000000" w:themeColor="text1"/>
                <w:kern w:val="0"/>
                <w:sz w:val="21"/>
                <w:szCs w:val="21"/>
              </w:rPr>
            </w:pPr>
            <w:r>
              <w:rPr>
                <w:rStyle w:val="font31"/>
                <w:rFonts w:ascii="Times New Roman" w:hAnsi="Times New Roman" w:cs="Times New Roman" w:hint="default"/>
                <w:lang w:bidi="ar"/>
              </w:rPr>
              <w:t>扣除非经常性损益的基本每股收益</w:t>
            </w:r>
            <w:r>
              <w:rPr>
                <w:rStyle w:val="font31"/>
                <w:rFonts w:ascii="Times New Roman" w:hAnsi="Times New Roman" w:cs="Times New Roman" w:hint="default"/>
                <w:lang w:bidi="ar"/>
              </w:rPr>
              <w:t>(</w:t>
            </w:r>
            <w:r>
              <w:rPr>
                <w:rStyle w:val="font31"/>
                <w:rFonts w:ascii="Times New Roman" w:hAnsi="Times New Roman" w:cs="Times New Roman" w:hint="default"/>
                <w:lang w:bidi="ar"/>
              </w:rPr>
              <w:t>元</w:t>
            </w:r>
            <w:r>
              <w:rPr>
                <w:rStyle w:val="font41"/>
                <w:lang w:bidi="ar"/>
              </w:rPr>
              <w:t>/</w:t>
            </w:r>
            <w:r>
              <w:rPr>
                <w:rStyle w:val="font31"/>
                <w:rFonts w:ascii="Times New Roman" w:hAnsi="Times New Roman" w:cs="Times New Roman" w:hint="default"/>
                <w:lang w:bidi="ar"/>
              </w:rPr>
              <w:t>股</w:t>
            </w:r>
            <w:r>
              <w:rPr>
                <w:rStyle w:val="font31"/>
                <w:rFonts w:ascii="Times New Roman" w:hAnsi="Times New Roman" w:cs="Times New Roman" w:hint="default"/>
                <w:lang w:bidi="ar"/>
              </w:rPr>
              <w:t>)</w:t>
            </w:r>
          </w:p>
        </w:tc>
        <w:tc>
          <w:tcPr>
            <w:tcW w:w="1312" w:type="dxa"/>
            <w:shd w:val="clear" w:color="auto" w:fill="auto"/>
            <w:vAlign w:val="center"/>
          </w:tcPr>
          <w:p w:rsidR="003C3FCD" w:rsidRDefault="00343C0E">
            <w:pPr>
              <w:widowControl/>
              <w:jc w:val="right"/>
              <w:textAlignment w:val="center"/>
              <w:rPr>
                <w:rFonts w:cs="Times New Roman"/>
                <w:snapToGrid w:val="0"/>
                <w:color w:val="000000" w:themeColor="text1"/>
                <w:kern w:val="0"/>
                <w:sz w:val="21"/>
                <w:szCs w:val="21"/>
              </w:rPr>
            </w:pPr>
            <w:r>
              <w:rPr>
                <w:rFonts w:cs="Times New Roman"/>
                <w:color w:val="000000"/>
                <w:kern w:val="0"/>
                <w:sz w:val="21"/>
                <w:szCs w:val="21"/>
                <w:lang w:bidi="ar"/>
              </w:rPr>
              <w:t>0.0065</w:t>
            </w:r>
          </w:p>
        </w:tc>
        <w:tc>
          <w:tcPr>
            <w:tcW w:w="1353" w:type="dxa"/>
            <w:shd w:val="clear" w:color="auto" w:fill="auto"/>
            <w:vAlign w:val="center"/>
          </w:tcPr>
          <w:p w:rsidR="003C3FCD" w:rsidRDefault="00343C0E">
            <w:pPr>
              <w:widowControl/>
              <w:jc w:val="right"/>
              <w:textAlignment w:val="center"/>
              <w:rPr>
                <w:rFonts w:cs="Times New Roman"/>
                <w:snapToGrid w:val="0"/>
                <w:color w:val="000000" w:themeColor="text1"/>
                <w:kern w:val="0"/>
                <w:sz w:val="21"/>
                <w:szCs w:val="21"/>
              </w:rPr>
            </w:pPr>
            <w:r>
              <w:rPr>
                <w:rFonts w:cs="Times New Roman"/>
                <w:color w:val="000000"/>
                <w:kern w:val="0"/>
                <w:sz w:val="21"/>
                <w:szCs w:val="21"/>
                <w:lang w:bidi="ar"/>
              </w:rPr>
              <w:t>0.0052</w:t>
            </w:r>
          </w:p>
        </w:tc>
        <w:tc>
          <w:tcPr>
            <w:tcW w:w="1347" w:type="dxa"/>
            <w:shd w:val="clear" w:color="auto" w:fill="auto"/>
            <w:vAlign w:val="center"/>
          </w:tcPr>
          <w:p w:rsidR="003C3FCD" w:rsidRDefault="00343C0E">
            <w:pPr>
              <w:widowControl/>
              <w:jc w:val="right"/>
              <w:textAlignment w:val="center"/>
              <w:rPr>
                <w:rFonts w:eastAsia="Arial" w:cs="Times New Roman"/>
                <w:snapToGrid w:val="0"/>
                <w:color w:val="000000" w:themeColor="text1"/>
                <w:kern w:val="0"/>
                <w:sz w:val="21"/>
                <w:szCs w:val="21"/>
              </w:rPr>
            </w:pPr>
            <w:r>
              <w:rPr>
                <w:rFonts w:cs="Times New Roman"/>
                <w:color w:val="000000"/>
                <w:kern w:val="0"/>
                <w:sz w:val="21"/>
                <w:szCs w:val="21"/>
                <w:lang w:bidi="ar"/>
              </w:rPr>
              <w:t>0.0047</w:t>
            </w:r>
          </w:p>
        </w:tc>
      </w:tr>
      <w:tr w:rsidR="003C3FCD">
        <w:trPr>
          <w:trHeight w:val="290"/>
        </w:trPr>
        <w:tc>
          <w:tcPr>
            <w:tcW w:w="4510" w:type="dxa"/>
            <w:shd w:val="clear" w:color="auto" w:fill="auto"/>
            <w:vAlign w:val="center"/>
          </w:tcPr>
          <w:p w:rsidR="003C3FCD" w:rsidRDefault="00343C0E">
            <w:pPr>
              <w:widowControl/>
              <w:jc w:val="left"/>
              <w:textAlignment w:val="center"/>
              <w:rPr>
                <w:rFonts w:cs="Times New Roman"/>
                <w:color w:val="000000" w:themeColor="text1"/>
                <w:kern w:val="0"/>
                <w:sz w:val="21"/>
                <w:szCs w:val="21"/>
              </w:rPr>
            </w:pPr>
            <w:r>
              <w:rPr>
                <w:rStyle w:val="font31"/>
                <w:rFonts w:ascii="Times New Roman" w:hAnsi="Times New Roman" w:cs="Times New Roman" w:hint="default"/>
                <w:lang w:bidi="ar"/>
              </w:rPr>
              <w:t>扣除非经常性损益的稀释每股收益</w:t>
            </w:r>
            <w:r>
              <w:rPr>
                <w:rStyle w:val="font31"/>
                <w:rFonts w:ascii="Times New Roman" w:hAnsi="Times New Roman" w:cs="Times New Roman" w:hint="default"/>
                <w:lang w:bidi="ar"/>
              </w:rPr>
              <w:t>(</w:t>
            </w:r>
            <w:r>
              <w:rPr>
                <w:rStyle w:val="font31"/>
                <w:rFonts w:ascii="Times New Roman" w:hAnsi="Times New Roman" w:cs="Times New Roman" w:hint="default"/>
                <w:lang w:bidi="ar"/>
              </w:rPr>
              <w:t>元</w:t>
            </w:r>
            <w:r>
              <w:rPr>
                <w:rStyle w:val="font41"/>
                <w:lang w:bidi="ar"/>
              </w:rPr>
              <w:t>/</w:t>
            </w:r>
            <w:r>
              <w:rPr>
                <w:rStyle w:val="font31"/>
                <w:rFonts w:ascii="Times New Roman" w:hAnsi="Times New Roman" w:cs="Times New Roman" w:hint="default"/>
                <w:lang w:bidi="ar"/>
              </w:rPr>
              <w:t>股</w:t>
            </w:r>
            <w:r>
              <w:rPr>
                <w:rStyle w:val="font31"/>
                <w:rFonts w:ascii="Times New Roman" w:hAnsi="Times New Roman" w:cs="Times New Roman" w:hint="default"/>
                <w:lang w:bidi="ar"/>
              </w:rPr>
              <w:t>)</w:t>
            </w:r>
          </w:p>
        </w:tc>
        <w:tc>
          <w:tcPr>
            <w:tcW w:w="1312" w:type="dxa"/>
            <w:shd w:val="clear" w:color="auto" w:fill="auto"/>
            <w:vAlign w:val="center"/>
          </w:tcPr>
          <w:p w:rsidR="003C3FCD" w:rsidRDefault="00343C0E">
            <w:pPr>
              <w:widowControl/>
              <w:jc w:val="right"/>
              <w:textAlignment w:val="center"/>
              <w:rPr>
                <w:rFonts w:cs="Times New Roman"/>
                <w:snapToGrid w:val="0"/>
                <w:color w:val="000000" w:themeColor="text1"/>
                <w:kern w:val="0"/>
                <w:sz w:val="21"/>
                <w:szCs w:val="21"/>
              </w:rPr>
            </w:pPr>
            <w:r>
              <w:rPr>
                <w:rFonts w:cs="Times New Roman"/>
                <w:color w:val="000000"/>
                <w:kern w:val="0"/>
                <w:sz w:val="21"/>
                <w:szCs w:val="21"/>
                <w:lang w:bidi="ar"/>
              </w:rPr>
              <w:t>0.0065</w:t>
            </w:r>
          </w:p>
        </w:tc>
        <w:tc>
          <w:tcPr>
            <w:tcW w:w="1353" w:type="dxa"/>
            <w:shd w:val="clear" w:color="auto" w:fill="auto"/>
            <w:vAlign w:val="center"/>
          </w:tcPr>
          <w:p w:rsidR="003C3FCD" w:rsidRDefault="00343C0E">
            <w:pPr>
              <w:widowControl/>
              <w:jc w:val="right"/>
              <w:textAlignment w:val="center"/>
              <w:rPr>
                <w:rFonts w:cs="Times New Roman"/>
                <w:snapToGrid w:val="0"/>
                <w:color w:val="000000" w:themeColor="text1"/>
                <w:kern w:val="0"/>
                <w:sz w:val="21"/>
                <w:szCs w:val="21"/>
              </w:rPr>
            </w:pPr>
            <w:r>
              <w:rPr>
                <w:rFonts w:cs="Times New Roman"/>
                <w:color w:val="000000"/>
                <w:kern w:val="0"/>
                <w:sz w:val="21"/>
                <w:szCs w:val="21"/>
                <w:lang w:bidi="ar"/>
              </w:rPr>
              <w:t>0.0052</w:t>
            </w:r>
          </w:p>
        </w:tc>
        <w:tc>
          <w:tcPr>
            <w:tcW w:w="1347" w:type="dxa"/>
            <w:shd w:val="clear" w:color="auto" w:fill="auto"/>
            <w:vAlign w:val="center"/>
          </w:tcPr>
          <w:p w:rsidR="003C3FCD" w:rsidRDefault="00343C0E">
            <w:pPr>
              <w:widowControl/>
              <w:jc w:val="right"/>
              <w:textAlignment w:val="center"/>
              <w:rPr>
                <w:rFonts w:eastAsia="Arial" w:cs="Times New Roman"/>
                <w:snapToGrid w:val="0"/>
                <w:color w:val="000000" w:themeColor="text1"/>
                <w:kern w:val="0"/>
                <w:sz w:val="21"/>
                <w:szCs w:val="21"/>
              </w:rPr>
            </w:pPr>
            <w:r>
              <w:rPr>
                <w:rFonts w:cs="Times New Roman"/>
                <w:color w:val="000000"/>
                <w:kern w:val="0"/>
                <w:sz w:val="21"/>
                <w:szCs w:val="21"/>
                <w:lang w:bidi="ar"/>
              </w:rPr>
              <w:t>0.0047</w:t>
            </w:r>
          </w:p>
        </w:tc>
      </w:tr>
      <w:tr w:rsidR="003C3FCD">
        <w:trPr>
          <w:trHeight w:val="560"/>
        </w:trPr>
        <w:tc>
          <w:tcPr>
            <w:tcW w:w="8522" w:type="dxa"/>
            <w:gridSpan w:val="4"/>
            <w:shd w:val="clear" w:color="auto" w:fill="auto"/>
            <w:vAlign w:val="center"/>
          </w:tcPr>
          <w:p w:rsidR="003C3FCD" w:rsidRDefault="00343C0E">
            <w:pPr>
              <w:widowControl/>
              <w:jc w:val="left"/>
              <w:textAlignment w:val="center"/>
              <w:rPr>
                <w:rFonts w:cs="Times New Roman"/>
                <w:b/>
                <w:bCs/>
                <w:color w:val="000000" w:themeColor="text1"/>
                <w:kern w:val="0"/>
                <w:sz w:val="21"/>
                <w:szCs w:val="21"/>
              </w:rPr>
            </w:pPr>
            <w:r>
              <w:rPr>
                <w:rFonts w:cs="Times New Roman"/>
                <w:b/>
                <w:bCs/>
                <w:color w:val="000000"/>
                <w:kern w:val="0"/>
                <w:sz w:val="21"/>
                <w:szCs w:val="21"/>
                <w:lang w:bidi="ar"/>
              </w:rPr>
              <w:t>情形</w:t>
            </w:r>
            <w:r>
              <w:rPr>
                <w:rStyle w:val="font41"/>
                <w:b/>
                <w:bCs/>
                <w:lang w:bidi="ar"/>
              </w:rPr>
              <w:t>2</w:t>
            </w:r>
            <w:r>
              <w:rPr>
                <w:rStyle w:val="font31"/>
                <w:rFonts w:ascii="Times New Roman" w:hAnsi="Times New Roman" w:cs="Times New Roman" w:hint="default"/>
                <w:b/>
                <w:bCs/>
                <w:lang w:bidi="ar"/>
              </w:rPr>
              <w:t>：</w:t>
            </w:r>
            <w:r>
              <w:rPr>
                <w:rStyle w:val="font41"/>
                <w:b/>
                <w:bCs/>
                <w:lang w:bidi="ar"/>
              </w:rPr>
              <w:t>2024</w:t>
            </w:r>
            <w:r>
              <w:rPr>
                <w:rStyle w:val="font31"/>
                <w:rFonts w:ascii="Times New Roman" w:hAnsi="Times New Roman" w:cs="Times New Roman" w:hint="default"/>
                <w:b/>
                <w:bCs/>
                <w:lang w:bidi="ar"/>
              </w:rPr>
              <w:t>年度归属于母公司股东的净利润及扣除非经常性损益后归属于母公司股东的净利润与</w:t>
            </w:r>
            <w:r>
              <w:rPr>
                <w:rStyle w:val="font41"/>
                <w:b/>
                <w:bCs/>
                <w:lang w:bidi="ar"/>
              </w:rPr>
              <w:t>2023</w:t>
            </w:r>
            <w:r>
              <w:rPr>
                <w:rStyle w:val="font31"/>
                <w:rFonts w:ascii="Times New Roman" w:hAnsi="Times New Roman" w:cs="Times New Roman" w:hint="default"/>
                <w:b/>
                <w:bCs/>
                <w:lang w:bidi="ar"/>
              </w:rPr>
              <w:t>年度数据持平</w:t>
            </w:r>
          </w:p>
        </w:tc>
      </w:tr>
      <w:tr w:rsidR="003C3FCD">
        <w:trPr>
          <w:trHeight w:val="290"/>
        </w:trPr>
        <w:tc>
          <w:tcPr>
            <w:tcW w:w="4510" w:type="dxa"/>
            <w:shd w:val="clear" w:color="auto" w:fill="auto"/>
            <w:vAlign w:val="center"/>
          </w:tcPr>
          <w:p w:rsidR="003C3FCD" w:rsidRDefault="00343C0E">
            <w:pPr>
              <w:widowControl/>
              <w:jc w:val="left"/>
              <w:textAlignment w:val="center"/>
              <w:rPr>
                <w:rFonts w:cs="Times New Roman"/>
                <w:color w:val="000000" w:themeColor="text1"/>
                <w:kern w:val="0"/>
                <w:sz w:val="21"/>
                <w:szCs w:val="21"/>
              </w:rPr>
            </w:pPr>
            <w:r>
              <w:rPr>
                <w:rFonts w:cs="Times New Roman"/>
                <w:color w:val="000000"/>
                <w:kern w:val="0"/>
                <w:sz w:val="21"/>
                <w:szCs w:val="21"/>
                <w:lang w:bidi="ar"/>
              </w:rPr>
              <w:t>归属于公司普通股股东的净利润</w:t>
            </w:r>
            <w:r>
              <w:rPr>
                <w:rFonts w:cs="Times New Roman"/>
                <w:color w:val="000000"/>
                <w:kern w:val="0"/>
                <w:sz w:val="21"/>
                <w:szCs w:val="21"/>
                <w:lang w:bidi="ar"/>
              </w:rPr>
              <w:t>(</w:t>
            </w:r>
            <w:r>
              <w:rPr>
                <w:rFonts w:cs="Times New Roman"/>
                <w:color w:val="000000"/>
                <w:kern w:val="0"/>
                <w:sz w:val="21"/>
                <w:szCs w:val="21"/>
                <w:lang w:bidi="ar"/>
              </w:rPr>
              <w:t>万元</w:t>
            </w:r>
            <w:r>
              <w:rPr>
                <w:rFonts w:cs="Times New Roman"/>
                <w:color w:val="000000"/>
                <w:kern w:val="0"/>
                <w:sz w:val="21"/>
                <w:szCs w:val="21"/>
                <w:lang w:bidi="ar"/>
              </w:rPr>
              <w:t>)</w:t>
            </w:r>
          </w:p>
        </w:tc>
        <w:tc>
          <w:tcPr>
            <w:tcW w:w="1312" w:type="dxa"/>
            <w:shd w:val="clear" w:color="auto" w:fill="auto"/>
            <w:vAlign w:val="center"/>
          </w:tcPr>
          <w:p w:rsidR="003C3FCD" w:rsidRDefault="00343C0E">
            <w:pPr>
              <w:widowControl/>
              <w:jc w:val="right"/>
              <w:textAlignment w:val="center"/>
              <w:rPr>
                <w:rFonts w:cs="Times New Roman"/>
                <w:color w:val="000000" w:themeColor="text1"/>
                <w:kern w:val="0"/>
                <w:sz w:val="21"/>
                <w:szCs w:val="21"/>
              </w:rPr>
            </w:pPr>
            <w:r>
              <w:rPr>
                <w:rFonts w:cs="Times New Roman"/>
                <w:color w:val="000000"/>
                <w:kern w:val="0"/>
                <w:sz w:val="21"/>
                <w:szCs w:val="21"/>
                <w:lang w:bidi="ar"/>
              </w:rPr>
              <w:t>1,337.82</w:t>
            </w:r>
          </w:p>
        </w:tc>
        <w:tc>
          <w:tcPr>
            <w:tcW w:w="1353" w:type="dxa"/>
            <w:shd w:val="clear" w:color="auto" w:fill="auto"/>
            <w:vAlign w:val="center"/>
          </w:tcPr>
          <w:p w:rsidR="003C3FCD" w:rsidRDefault="00343C0E">
            <w:pPr>
              <w:widowControl/>
              <w:jc w:val="right"/>
              <w:textAlignment w:val="center"/>
              <w:rPr>
                <w:rFonts w:cs="Times New Roman"/>
                <w:color w:val="000000" w:themeColor="text1"/>
                <w:kern w:val="0"/>
                <w:sz w:val="21"/>
                <w:szCs w:val="21"/>
              </w:rPr>
            </w:pPr>
            <w:r>
              <w:rPr>
                <w:rFonts w:cs="Times New Roman"/>
                <w:color w:val="000000"/>
                <w:kern w:val="0"/>
                <w:sz w:val="21"/>
                <w:szCs w:val="21"/>
                <w:lang w:bidi="ar"/>
              </w:rPr>
              <w:t>1,337.82</w:t>
            </w:r>
          </w:p>
        </w:tc>
        <w:tc>
          <w:tcPr>
            <w:tcW w:w="1347" w:type="dxa"/>
            <w:shd w:val="clear" w:color="auto" w:fill="auto"/>
            <w:vAlign w:val="center"/>
          </w:tcPr>
          <w:p w:rsidR="003C3FCD" w:rsidRDefault="00343C0E">
            <w:pPr>
              <w:widowControl/>
              <w:jc w:val="right"/>
              <w:textAlignment w:val="center"/>
              <w:rPr>
                <w:rFonts w:cs="Times New Roman"/>
                <w:color w:val="000000" w:themeColor="text1"/>
                <w:kern w:val="0"/>
                <w:sz w:val="21"/>
                <w:szCs w:val="21"/>
              </w:rPr>
            </w:pPr>
            <w:r>
              <w:rPr>
                <w:rFonts w:cs="Times New Roman"/>
                <w:color w:val="000000"/>
                <w:kern w:val="0"/>
                <w:sz w:val="21"/>
                <w:szCs w:val="21"/>
                <w:lang w:bidi="ar"/>
              </w:rPr>
              <w:t>1,337.82</w:t>
            </w:r>
          </w:p>
        </w:tc>
      </w:tr>
      <w:tr w:rsidR="003C3FCD">
        <w:trPr>
          <w:trHeight w:val="550"/>
        </w:trPr>
        <w:tc>
          <w:tcPr>
            <w:tcW w:w="4510" w:type="dxa"/>
            <w:shd w:val="clear" w:color="auto" w:fill="auto"/>
            <w:vAlign w:val="center"/>
          </w:tcPr>
          <w:p w:rsidR="003C3FCD" w:rsidRDefault="00343C0E">
            <w:pPr>
              <w:widowControl/>
              <w:jc w:val="left"/>
              <w:textAlignment w:val="center"/>
              <w:rPr>
                <w:rFonts w:cs="Times New Roman"/>
                <w:color w:val="000000" w:themeColor="text1"/>
                <w:kern w:val="0"/>
                <w:sz w:val="21"/>
                <w:szCs w:val="21"/>
              </w:rPr>
            </w:pPr>
            <w:r>
              <w:rPr>
                <w:rFonts w:cs="Times New Roman"/>
                <w:color w:val="000000"/>
                <w:kern w:val="0"/>
                <w:sz w:val="21"/>
                <w:szCs w:val="21"/>
                <w:lang w:bidi="ar"/>
              </w:rPr>
              <w:t>扣除非经常性损益后归属于公司普通股股东的净利润</w:t>
            </w:r>
            <w:r>
              <w:rPr>
                <w:rFonts w:cs="Times New Roman"/>
                <w:color w:val="000000"/>
                <w:kern w:val="0"/>
                <w:sz w:val="21"/>
                <w:szCs w:val="21"/>
                <w:lang w:bidi="ar"/>
              </w:rPr>
              <w:t>(</w:t>
            </w:r>
            <w:r>
              <w:rPr>
                <w:rFonts w:cs="Times New Roman"/>
                <w:color w:val="000000"/>
                <w:kern w:val="0"/>
                <w:sz w:val="21"/>
                <w:szCs w:val="21"/>
                <w:lang w:bidi="ar"/>
              </w:rPr>
              <w:t>万元</w:t>
            </w:r>
            <w:r>
              <w:rPr>
                <w:rFonts w:cs="Times New Roman"/>
                <w:color w:val="000000"/>
                <w:kern w:val="0"/>
                <w:sz w:val="21"/>
                <w:szCs w:val="21"/>
                <w:lang w:bidi="ar"/>
              </w:rPr>
              <w:t>)</w:t>
            </w:r>
          </w:p>
        </w:tc>
        <w:tc>
          <w:tcPr>
            <w:tcW w:w="1312" w:type="dxa"/>
            <w:shd w:val="clear" w:color="auto" w:fill="auto"/>
            <w:vAlign w:val="center"/>
          </w:tcPr>
          <w:p w:rsidR="003C3FCD" w:rsidRDefault="00343C0E">
            <w:pPr>
              <w:widowControl/>
              <w:jc w:val="right"/>
              <w:textAlignment w:val="center"/>
              <w:rPr>
                <w:rFonts w:cs="Times New Roman"/>
                <w:color w:val="000000" w:themeColor="text1"/>
                <w:kern w:val="0"/>
                <w:sz w:val="21"/>
                <w:szCs w:val="21"/>
              </w:rPr>
            </w:pPr>
            <w:r>
              <w:rPr>
                <w:rFonts w:cs="Times New Roman"/>
                <w:color w:val="000000"/>
                <w:kern w:val="0"/>
                <w:sz w:val="21"/>
                <w:szCs w:val="21"/>
                <w:lang w:bidi="ar"/>
              </w:rPr>
              <w:t>230.81</w:t>
            </w:r>
          </w:p>
        </w:tc>
        <w:tc>
          <w:tcPr>
            <w:tcW w:w="1353" w:type="dxa"/>
            <w:shd w:val="clear" w:color="auto" w:fill="auto"/>
            <w:vAlign w:val="center"/>
          </w:tcPr>
          <w:p w:rsidR="003C3FCD" w:rsidRDefault="00343C0E">
            <w:pPr>
              <w:widowControl/>
              <w:jc w:val="right"/>
              <w:textAlignment w:val="center"/>
              <w:rPr>
                <w:rFonts w:cs="Times New Roman"/>
                <w:color w:val="000000" w:themeColor="text1"/>
                <w:kern w:val="0"/>
                <w:sz w:val="21"/>
                <w:szCs w:val="21"/>
              </w:rPr>
            </w:pPr>
            <w:r>
              <w:rPr>
                <w:rFonts w:cs="Times New Roman"/>
                <w:color w:val="000000"/>
                <w:kern w:val="0"/>
                <w:sz w:val="21"/>
                <w:szCs w:val="21"/>
                <w:lang w:bidi="ar"/>
              </w:rPr>
              <w:t>230.81</w:t>
            </w:r>
          </w:p>
        </w:tc>
        <w:tc>
          <w:tcPr>
            <w:tcW w:w="1347" w:type="dxa"/>
            <w:shd w:val="clear" w:color="auto" w:fill="auto"/>
            <w:vAlign w:val="center"/>
          </w:tcPr>
          <w:p w:rsidR="003C3FCD" w:rsidRDefault="00343C0E">
            <w:pPr>
              <w:widowControl/>
              <w:jc w:val="right"/>
              <w:textAlignment w:val="center"/>
              <w:rPr>
                <w:rFonts w:cs="Times New Roman"/>
                <w:color w:val="000000" w:themeColor="text1"/>
                <w:kern w:val="0"/>
                <w:sz w:val="21"/>
                <w:szCs w:val="21"/>
              </w:rPr>
            </w:pPr>
            <w:r>
              <w:rPr>
                <w:rFonts w:cs="Times New Roman"/>
                <w:color w:val="000000"/>
                <w:kern w:val="0"/>
                <w:sz w:val="21"/>
                <w:szCs w:val="21"/>
                <w:lang w:bidi="ar"/>
              </w:rPr>
              <w:t>230.81</w:t>
            </w:r>
          </w:p>
        </w:tc>
      </w:tr>
      <w:tr w:rsidR="003C3FCD">
        <w:trPr>
          <w:trHeight w:val="290"/>
        </w:trPr>
        <w:tc>
          <w:tcPr>
            <w:tcW w:w="4510" w:type="dxa"/>
            <w:shd w:val="clear" w:color="auto" w:fill="auto"/>
            <w:vAlign w:val="center"/>
          </w:tcPr>
          <w:p w:rsidR="003C3FCD" w:rsidRDefault="00343C0E">
            <w:pPr>
              <w:widowControl/>
              <w:jc w:val="left"/>
              <w:textAlignment w:val="center"/>
              <w:rPr>
                <w:rFonts w:cs="Times New Roman"/>
                <w:color w:val="000000" w:themeColor="text1"/>
                <w:kern w:val="0"/>
                <w:sz w:val="21"/>
                <w:szCs w:val="21"/>
              </w:rPr>
            </w:pPr>
            <w:r>
              <w:rPr>
                <w:rStyle w:val="font31"/>
                <w:rFonts w:ascii="Times New Roman" w:hAnsi="Times New Roman" w:cs="Times New Roman" w:hint="default"/>
                <w:lang w:bidi="ar"/>
              </w:rPr>
              <w:t>基本每股收益</w:t>
            </w:r>
            <w:r>
              <w:rPr>
                <w:rStyle w:val="font31"/>
                <w:rFonts w:ascii="Times New Roman" w:hAnsi="Times New Roman" w:cs="Times New Roman" w:hint="default"/>
                <w:lang w:bidi="ar"/>
              </w:rPr>
              <w:t>(</w:t>
            </w:r>
            <w:r>
              <w:rPr>
                <w:rStyle w:val="font31"/>
                <w:rFonts w:ascii="Times New Roman" w:hAnsi="Times New Roman" w:cs="Times New Roman" w:hint="default"/>
                <w:lang w:bidi="ar"/>
              </w:rPr>
              <w:t>元</w:t>
            </w:r>
            <w:r>
              <w:rPr>
                <w:rStyle w:val="font41"/>
                <w:lang w:bidi="ar"/>
              </w:rPr>
              <w:t>/</w:t>
            </w:r>
            <w:r>
              <w:rPr>
                <w:rStyle w:val="font31"/>
                <w:rFonts w:ascii="Times New Roman" w:hAnsi="Times New Roman" w:cs="Times New Roman" w:hint="default"/>
                <w:lang w:bidi="ar"/>
              </w:rPr>
              <w:t>股</w:t>
            </w:r>
            <w:r>
              <w:rPr>
                <w:rStyle w:val="font31"/>
                <w:rFonts w:ascii="Times New Roman" w:hAnsi="Times New Roman" w:cs="Times New Roman" w:hint="default"/>
                <w:lang w:bidi="ar"/>
              </w:rPr>
              <w:t>)</w:t>
            </w:r>
          </w:p>
        </w:tc>
        <w:tc>
          <w:tcPr>
            <w:tcW w:w="1312" w:type="dxa"/>
            <w:shd w:val="clear" w:color="auto" w:fill="auto"/>
            <w:vAlign w:val="center"/>
          </w:tcPr>
          <w:p w:rsidR="003C3FCD" w:rsidRDefault="00343C0E">
            <w:pPr>
              <w:widowControl/>
              <w:jc w:val="right"/>
              <w:textAlignment w:val="center"/>
              <w:rPr>
                <w:rFonts w:cs="Times New Roman"/>
                <w:snapToGrid w:val="0"/>
                <w:color w:val="000000" w:themeColor="text1"/>
                <w:kern w:val="0"/>
                <w:sz w:val="21"/>
                <w:szCs w:val="21"/>
              </w:rPr>
            </w:pPr>
            <w:r>
              <w:rPr>
                <w:rFonts w:cs="Times New Roman"/>
                <w:color w:val="000000"/>
                <w:kern w:val="0"/>
                <w:sz w:val="21"/>
                <w:szCs w:val="21"/>
                <w:lang w:bidi="ar"/>
              </w:rPr>
              <w:t>0.0379</w:t>
            </w:r>
          </w:p>
        </w:tc>
        <w:tc>
          <w:tcPr>
            <w:tcW w:w="1353" w:type="dxa"/>
            <w:shd w:val="clear" w:color="auto" w:fill="auto"/>
            <w:vAlign w:val="center"/>
          </w:tcPr>
          <w:p w:rsidR="003C3FCD" w:rsidRDefault="00343C0E">
            <w:pPr>
              <w:widowControl/>
              <w:jc w:val="right"/>
              <w:textAlignment w:val="center"/>
              <w:rPr>
                <w:rFonts w:cs="Times New Roman"/>
                <w:snapToGrid w:val="0"/>
                <w:color w:val="000000" w:themeColor="text1"/>
                <w:kern w:val="0"/>
                <w:sz w:val="21"/>
                <w:szCs w:val="21"/>
              </w:rPr>
            </w:pPr>
            <w:r>
              <w:rPr>
                <w:rFonts w:cs="Times New Roman"/>
                <w:color w:val="000000"/>
                <w:kern w:val="0"/>
                <w:sz w:val="21"/>
                <w:szCs w:val="21"/>
                <w:lang w:bidi="ar"/>
              </w:rPr>
              <w:t>0.0379</w:t>
            </w:r>
          </w:p>
        </w:tc>
        <w:tc>
          <w:tcPr>
            <w:tcW w:w="1347" w:type="dxa"/>
            <w:shd w:val="clear" w:color="auto" w:fill="auto"/>
            <w:vAlign w:val="center"/>
          </w:tcPr>
          <w:p w:rsidR="003C3FCD" w:rsidRDefault="00343C0E">
            <w:pPr>
              <w:widowControl/>
              <w:jc w:val="right"/>
              <w:textAlignment w:val="center"/>
              <w:rPr>
                <w:rFonts w:eastAsia="Arial" w:cs="Times New Roman"/>
                <w:snapToGrid w:val="0"/>
                <w:color w:val="000000" w:themeColor="text1"/>
                <w:kern w:val="0"/>
                <w:sz w:val="21"/>
                <w:szCs w:val="21"/>
              </w:rPr>
            </w:pPr>
            <w:r>
              <w:rPr>
                <w:rFonts w:cs="Times New Roman"/>
                <w:color w:val="000000"/>
                <w:kern w:val="0"/>
                <w:sz w:val="21"/>
                <w:szCs w:val="21"/>
                <w:lang w:bidi="ar"/>
              </w:rPr>
              <w:t>0.0343</w:t>
            </w:r>
          </w:p>
        </w:tc>
      </w:tr>
      <w:tr w:rsidR="003C3FCD">
        <w:trPr>
          <w:trHeight w:val="290"/>
        </w:trPr>
        <w:tc>
          <w:tcPr>
            <w:tcW w:w="4510" w:type="dxa"/>
            <w:shd w:val="clear" w:color="auto" w:fill="auto"/>
            <w:vAlign w:val="center"/>
          </w:tcPr>
          <w:p w:rsidR="003C3FCD" w:rsidRDefault="00343C0E">
            <w:pPr>
              <w:widowControl/>
              <w:jc w:val="left"/>
              <w:textAlignment w:val="center"/>
              <w:rPr>
                <w:rFonts w:cs="Times New Roman"/>
                <w:color w:val="000000" w:themeColor="text1"/>
                <w:kern w:val="0"/>
                <w:sz w:val="21"/>
                <w:szCs w:val="21"/>
              </w:rPr>
            </w:pPr>
            <w:r>
              <w:rPr>
                <w:rStyle w:val="font31"/>
                <w:rFonts w:ascii="Times New Roman" w:hAnsi="Times New Roman" w:cs="Times New Roman" w:hint="default"/>
                <w:lang w:bidi="ar"/>
              </w:rPr>
              <w:lastRenderedPageBreak/>
              <w:t>稀释每股收益</w:t>
            </w:r>
            <w:r>
              <w:rPr>
                <w:rStyle w:val="font31"/>
                <w:rFonts w:ascii="Times New Roman" w:hAnsi="Times New Roman" w:cs="Times New Roman" w:hint="default"/>
                <w:lang w:bidi="ar"/>
              </w:rPr>
              <w:t>(</w:t>
            </w:r>
            <w:r>
              <w:rPr>
                <w:rStyle w:val="font31"/>
                <w:rFonts w:ascii="Times New Roman" w:hAnsi="Times New Roman" w:cs="Times New Roman" w:hint="default"/>
                <w:lang w:bidi="ar"/>
              </w:rPr>
              <w:t>元</w:t>
            </w:r>
            <w:r>
              <w:rPr>
                <w:rStyle w:val="font41"/>
                <w:lang w:bidi="ar"/>
              </w:rPr>
              <w:t>/</w:t>
            </w:r>
            <w:r>
              <w:rPr>
                <w:rStyle w:val="font31"/>
                <w:rFonts w:ascii="Times New Roman" w:hAnsi="Times New Roman" w:cs="Times New Roman" w:hint="default"/>
                <w:lang w:bidi="ar"/>
              </w:rPr>
              <w:t>股</w:t>
            </w:r>
            <w:r>
              <w:rPr>
                <w:rStyle w:val="font31"/>
                <w:rFonts w:ascii="Times New Roman" w:hAnsi="Times New Roman" w:cs="Times New Roman" w:hint="default"/>
                <w:lang w:bidi="ar"/>
              </w:rPr>
              <w:t>)</w:t>
            </w:r>
          </w:p>
        </w:tc>
        <w:tc>
          <w:tcPr>
            <w:tcW w:w="1312" w:type="dxa"/>
            <w:shd w:val="clear" w:color="auto" w:fill="auto"/>
            <w:vAlign w:val="center"/>
          </w:tcPr>
          <w:p w:rsidR="003C3FCD" w:rsidRDefault="00343C0E">
            <w:pPr>
              <w:widowControl/>
              <w:jc w:val="right"/>
              <w:textAlignment w:val="center"/>
              <w:rPr>
                <w:rFonts w:cs="Times New Roman"/>
                <w:snapToGrid w:val="0"/>
                <w:color w:val="000000" w:themeColor="text1"/>
                <w:kern w:val="0"/>
                <w:sz w:val="21"/>
                <w:szCs w:val="21"/>
              </w:rPr>
            </w:pPr>
            <w:r>
              <w:rPr>
                <w:rFonts w:cs="Times New Roman"/>
                <w:color w:val="000000"/>
                <w:kern w:val="0"/>
                <w:sz w:val="21"/>
                <w:szCs w:val="21"/>
                <w:lang w:bidi="ar"/>
              </w:rPr>
              <w:t>0.0379</w:t>
            </w:r>
          </w:p>
        </w:tc>
        <w:tc>
          <w:tcPr>
            <w:tcW w:w="1353" w:type="dxa"/>
            <w:shd w:val="clear" w:color="auto" w:fill="auto"/>
            <w:vAlign w:val="center"/>
          </w:tcPr>
          <w:p w:rsidR="003C3FCD" w:rsidRDefault="00343C0E">
            <w:pPr>
              <w:widowControl/>
              <w:jc w:val="right"/>
              <w:textAlignment w:val="center"/>
              <w:rPr>
                <w:rFonts w:cs="Times New Roman"/>
                <w:snapToGrid w:val="0"/>
                <w:color w:val="000000" w:themeColor="text1"/>
                <w:kern w:val="0"/>
                <w:sz w:val="21"/>
                <w:szCs w:val="21"/>
              </w:rPr>
            </w:pPr>
            <w:r>
              <w:rPr>
                <w:rFonts w:cs="Times New Roman"/>
                <w:color w:val="000000"/>
                <w:kern w:val="0"/>
                <w:sz w:val="21"/>
                <w:szCs w:val="21"/>
                <w:lang w:bidi="ar"/>
              </w:rPr>
              <w:t>0.0379</w:t>
            </w:r>
          </w:p>
        </w:tc>
        <w:tc>
          <w:tcPr>
            <w:tcW w:w="1347" w:type="dxa"/>
            <w:shd w:val="clear" w:color="auto" w:fill="auto"/>
            <w:vAlign w:val="center"/>
          </w:tcPr>
          <w:p w:rsidR="003C3FCD" w:rsidRDefault="00343C0E">
            <w:pPr>
              <w:widowControl/>
              <w:jc w:val="right"/>
              <w:textAlignment w:val="center"/>
              <w:rPr>
                <w:rFonts w:eastAsia="Arial" w:cs="Times New Roman"/>
                <w:snapToGrid w:val="0"/>
                <w:color w:val="000000" w:themeColor="text1"/>
                <w:kern w:val="0"/>
                <w:sz w:val="21"/>
                <w:szCs w:val="21"/>
              </w:rPr>
            </w:pPr>
            <w:r>
              <w:rPr>
                <w:rFonts w:cs="Times New Roman"/>
                <w:color w:val="000000"/>
                <w:kern w:val="0"/>
                <w:sz w:val="21"/>
                <w:szCs w:val="21"/>
                <w:lang w:bidi="ar"/>
              </w:rPr>
              <w:t>0.0343</w:t>
            </w:r>
          </w:p>
        </w:tc>
      </w:tr>
      <w:tr w:rsidR="003C3FCD">
        <w:trPr>
          <w:trHeight w:val="290"/>
        </w:trPr>
        <w:tc>
          <w:tcPr>
            <w:tcW w:w="4510" w:type="dxa"/>
            <w:shd w:val="clear" w:color="auto" w:fill="auto"/>
            <w:vAlign w:val="center"/>
          </w:tcPr>
          <w:p w:rsidR="003C3FCD" w:rsidRDefault="00343C0E">
            <w:pPr>
              <w:widowControl/>
              <w:jc w:val="left"/>
              <w:textAlignment w:val="center"/>
              <w:rPr>
                <w:rFonts w:cs="Times New Roman"/>
                <w:color w:val="000000" w:themeColor="text1"/>
                <w:kern w:val="0"/>
                <w:sz w:val="21"/>
                <w:szCs w:val="21"/>
              </w:rPr>
            </w:pPr>
            <w:r>
              <w:rPr>
                <w:rStyle w:val="font31"/>
                <w:rFonts w:ascii="Times New Roman" w:hAnsi="Times New Roman" w:cs="Times New Roman" w:hint="default"/>
                <w:lang w:bidi="ar"/>
              </w:rPr>
              <w:t>扣除非经常性损益的基本每股收益</w:t>
            </w:r>
            <w:r>
              <w:rPr>
                <w:rStyle w:val="font31"/>
                <w:rFonts w:ascii="Times New Roman" w:hAnsi="Times New Roman" w:cs="Times New Roman" w:hint="default"/>
                <w:lang w:bidi="ar"/>
              </w:rPr>
              <w:t>(</w:t>
            </w:r>
            <w:r>
              <w:rPr>
                <w:rStyle w:val="font31"/>
                <w:rFonts w:ascii="Times New Roman" w:hAnsi="Times New Roman" w:cs="Times New Roman" w:hint="default"/>
                <w:lang w:bidi="ar"/>
              </w:rPr>
              <w:t>元</w:t>
            </w:r>
            <w:r>
              <w:rPr>
                <w:rStyle w:val="font41"/>
                <w:lang w:bidi="ar"/>
              </w:rPr>
              <w:t>/</w:t>
            </w:r>
            <w:r>
              <w:rPr>
                <w:rStyle w:val="font31"/>
                <w:rFonts w:ascii="Times New Roman" w:hAnsi="Times New Roman" w:cs="Times New Roman" w:hint="default"/>
                <w:lang w:bidi="ar"/>
              </w:rPr>
              <w:t>股</w:t>
            </w:r>
            <w:r>
              <w:rPr>
                <w:rStyle w:val="font31"/>
                <w:rFonts w:ascii="Times New Roman" w:hAnsi="Times New Roman" w:cs="Times New Roman" w:hint="default"/>
                <w:lang w:bidi="ar"/>
              </w:rPr>
              <w:t>)</w:t>
            </w:r>
          </w:p>
        </w:tc>
        <w:tc>
          <w:tcPr>
            <w:tcW w:w="1312" w:type="dxa"/>
            <w:shd w:val="clear" w:color="auto" w:fill="auto"/>
            <w:vAlign w:val="center"/>
          </w:tcPr>
          <w:p w:rsidR="003C3FCD" w:rsidRDefault="00343C0E">
            <w:pPr>
              <w:widowControl/>
              <w:jc w:val="right"/>
              <w:textAlignment w:val="center"/>
              <w:rPr>
                <w:rFonts w:cs="Times New Roman"/>
                <w:snapToGrid w:val="0"/>
                <w:color w:val="000000" w:themeColor="text1"/>
                <w:kern w:val="0"/>
                <w:sz w:val="21"/>
                <w:szCs w:val="21"/>
              </w:rPr>
            </w:pPr>
            <w:r>
              <w:rPr>
                <w:rFonts w:cs="Times New Roman"/>
                <w:color w:val="000000"/>
                <w:kern w:val="0"/>
                <w:sz w:val="21"/>
                <w:szCs w:val="21"/>
                <w:lang w:bidi="ar"/>
              </w:rPr>
              <w:t>0.0065</w:t>
            </w:r>
          </w:p>
        </w:tc>
        <w:tc>
          <w:tcPr>
            <w:tcW w:w="1353" w:type="dxa"/>
            <w:shd w:val="clear" w:color="auto" w:fill="auto"/>
            <w:vAlign w:val="center"/>
          </w:tcPr>
          <w:p w:rsidR="003C3FCD" w:rsidRDefault="00343C0E">
            <w:pPr>
              <w:widowControl/>
              <w:jc w:val="right"/>
              <w:textAlignment w:val="center"/>
              <w:rPr>
                <w:rFonts w:cs="Times New Roman"/>
                <w:snapToGrid w:val="0"/>
                <w:color w:val="000000" w:themeColor="text1"/>
                <w:kern w:val="0"/>
                <w:sz w:val="21"/>
                <w:szCs w:val="21"/>
              </w:rPr>
            </w:pPr>
            <w:r>
              <w:rPr>
                <w:rFonts w:cs="Times New Roman"/>
                <w:color w:val="000000"/>
                <w:kern w:val="0"/>
                <w:sz w:val="21"/>
                <w:szCs w:val="21"/>
                <w:lang w:bidi="ar"/>
              </w:rPr>
              <w:t>0.0065</w:t>
            </w:r>
          </w:p>
        </w:tc>
        <w:tc>
          <w:tcPr>
            <w:tcW w:w="1347" w:type="dxa"/>
            <w:shd w:val="clear" w:color="auto" w:fill="auto"/>
            <w:vAlign w:val="center"/>
          </w:tcPr>
          <w:p w:rsidR="003C3FCD" w:rsidRDefault="00343C0E">
            <w:pPr>
              <w:widowControl/>
              <w:jc w:val="right"/>
              <w:textAlignment w:val="center"/>
              <w:rPr>
                <w:rFonts w:eastAsia="Arial" w:cs="Times New Roman"/>
                <w:snapToGrid w:val="0"/>
                <w:color w:val="000000" w:themeColor="text1"/>
                <w:kern w:val="0"/>
                <w:sz w:val="21"/>
                <w:szCs w:val="21"/>
              </w:rPr>
            </w:pPr>
            <w:r>
              <w:rPr>
                <w:rFonts w:cs="Times New Roman"/>
                <w:color w:val="000000"/>
                <w:kern w:val="0"/>
                <w:sz w:val="21"/>
                <w:szCs w:val="21"/>
                <w:lang w:bidi="ar"/>
              </w:rPr>
              <w:t>0.0059</w:t>
            </w:r>
          </w:p>
        </w:tc>
      </w:tr>
      <w:tr w:rsidR="003C3FCD">
        <w:trPr>
          <w:trHeight w:val="290"/>
        </w:trPr>
        <w:tc>
          <w:tcPr>
            <w:tcW w:w="4510" w:type="dxa"/>
            <w:shd w:val="clear" w:color="auto" w:fill="auto"/>
            <w:vAlign w:val="center"/>
          </w:tcPr>
          <w:p w:rsidR="003C3FCD" w:rsidRDefault="00343C0E">
            <w:pPr>
              <w:widowControl/>
              <w:jc w:val="left"/>
              <w:textAlignment w:val="center"/>
              <w:rPr>
                <w:rFonts w:cs="Times New Roman"/>
                <w:color w:val="000000" w:themeColor="text1"/>
                <w:kern w:val="0"/>
                <w:sz w:val="21"/>
                <w:szCs w:val="21"/>
              </w:rPr>
            </w:pPr>
            <w:r>
              <w:rPr>
                <w:rStyle w:val="font31"/>
                <w:rFonts w:ascii="Times New Roman" w:hAnsi="Times New Roman" w:cs="Times New Roman" w:hint="default"/>
                <w:lang w:bidi="ar"/>
              </w:rPr>
              <w:t>扣除非经常性损益的稀释每股收益</w:t>
            </w:r>
            <w:r>
              <w:rPr>
                <w:rStyle w:val="font31"/>
                <w:rFonts w:ascii="Times New Roman" w:hAnsi="Times New Roman" w:cs="Times New Roman" w:hint="default"/>
                <w:lang w:bidi="ar"/>
              </w:rPr>
              <w:t>(</w:t>
            </w:r>
            <w:r>
              <w:rPr>
                <w:rStyle w:val="font31"/>
                <w:rFonts w:ascii="Times New Roman" w:hAnsi="Times New Roman" w:cs="Times New Roman" w:hint="default"/>
                <w:lang w:bidi="ar"/>
              </w:rPr>
              <w:t>元</w:t>
            </w:r>
            <w:r>
              <w:rPr>
                <w:rStyle w:val="font41"/>
                <w:lang w:bidi="ar"/>
              </w:rPr>
              <w:t>/</w:t>
            </w:r>
            <w:r>
              <w:rPr>
                <w:rStyle w:val="font31"/>
                <w:rFonts w:ascii="Times New Roman" w:hAnsi="Times New Roman" w:cs="Times New Roman" w:hint="default"/>
                <w:lang w:bidi="ar"/>
              </w:rPr>
              <w:t>股</w:t>
            </w:r>
            <w:r>
              <w:rPr>
                <w:rStyle w:val="font31"/>
                <w:rFonts w:ascii="Times New Roman" w:hAnsi="Times New Roman" w:cs="Times New Roman" w:hint="default"/>
                <w:lang w:bidi="ar"/>
              </w:rPr>
              <w:t>)</w:t>
            </w:r>
          </w:p>
        </w:tc>
        <w:tc>
          <w:tcPr>
            <w:tcW w:w="1312" w:type="dxa"/>
            <w:shd w:val="clear" w:color="auto" w:fill="auto"/>
            <w:vAlign w:val="center"/>
          </w:tcPr>
          <w:p w:rsidR="003C3FCD" w:rsidRDefault="00343C0E">
            <w:pPr>
              <w:widowControl/>
              <w:jc w:val="right"/>
              <w:textAlignment w:val="center"/>
              <w:rPr>
                <w:rFonts w:cs="Times New Roman"/>
                <w:snapToGrid w:val="0"/>
                <w:color w:val="000000" w:themeColor="text1"/>
                <w:kern w:val="0"/>
                <w:sz w:val="21"/>
                <w:szCs w:val="21"/>
              </w:rPr>
            </w:pPr>
            <w:r>
              <w:rPr>
                <w:rFonts w:cs="Times New Roman"/>
                <w:color w:val="000000"/>
                <w:kern w:val="0"/>
                <w:sz w:val="21"/>
                <w:szCs w:val="21"/>
                <w:lang w:bidi="ar"/>
              </w:rPr>
              <w:t>0.0065</w:t>
            </w:r>
          </w:p>
        </w:tc>
        <w:tc>
          <w:tcPr>
            <w:tcW w:w="1353" w:type="dxa"/>
            <w:shd w:val="clear" w:color="auto" w:fill="auto"/>
            <w:vAlign w:val="center"/>
          </w:tcPr>
          <w:p w:rsidR="003C3FCD" w:rsidRDefault="00343C0E">
            <w:pPr>
              <w:widowControl/>
              <w:jc w:val="right"/>
              <w:textAlignment w:val="center"/>
              <w:rPr>
                <w:rFonts w:cs="Times New Roman"/>
                <w:snapToGrid w:val="0"/>
                <w:color w:val="000000" w:themeColor="text1"/>
                <w:kern w:val="0"/>
                <w:sz w:val="21"/>
                <w:szCs w:val="21"/>
              </w:rPr>
            </w:pPr>
            <w:r>
              <w:rPr>
                <w:rFonts w:cs="Times New Roman"/>
                <w:color w:val="000000"/>
                <w:kern w:val="0"/>
                <w:sz w:val="21"/>
                <w:szCs w:val="21"/>
                <w:lang w:bidi="ar"/>
              </w:rPr>
              <w:t>0.0065</w:t>
            </w:r>
          </w:p>
        </w:tc>
        <w:tc>
          <w:tcPr>
            <w:tcW w:w="1347" w:type="dxa"/>
            <w:shd w:val="clear" w:color="auto" w:fill="auto"/>
            <w:vAlign w:val="center"/>
          </w:tcPr>
          <w:p w:rsidR="003C3FCD" w:rsidRDefault="00343C0E">
            <w:pPr>
              <w:widowControl/>
              <w:jc w:val="right"/>
              <w:textAlignment w:val="center"/>
              <w:rPr>
                <w:rFonts w:eastAsia="Arial" w:cs="Times New Roman"/>
                <w:snapToGrid w:val="0"/>
                <w:color w:val="000000" w:themeColor="text1"/>
                <w:kern w:val="0"/>
                <w:sz w:val="21"/>
                <w:szCs w:val="21"/>
              </w:rPr>
            </w:pPr>
            <w:r>
              <w:rPr>
                <w:rFonts w:cs="Times New Roman"/>
                <w:color w:val="000000"/>
                <w:kern w:val="0"/>
                <w:sz w:val="21"/>
                <w:szCs w:val="21"/>
                <w:lang w:bidi="ar"/>
              </w:rPr>
              <w:t>0.0059</w:t>
            </w:r>
          </w:p>
        </w:tc>
      </w:tr>
      <w:tr w:rsidR="003C3FCD">
        <w:trPr>
          <w:trHeight w:val="560"/>
        </w:trPr>
        <w:tc>
          <w:tcPr>
            <w:tcW w:w="8522" w:type="dxa"/>
            <w:gridSpan w:val="4"/>
            <w:shd w:val="clear" w:color="auto" w:fill="auto"/>
            <w:vAlign w:val="center"/>
          </w:tcPr>
          <w:p w:rsidR="003C3FCD" w:rsidRDefault="00343C0E">
            <w:pPr>
              <w:widowControl/>
              <w:jc w:val="left"/>
              <w:textAlignment w:val="center"/>
              <w:rPr>
                <w:rFonts w:cs="Times New Roman"/>
                <w:b/>
                <w:bCs/>
                <w:color w:val="000000" w:themeColor="text1"/>
                <w:kern w:val="0"/>
                <w:sz w:val="21"/>
                <w:szCs w:val="21"/>
              </w:rPr>
            </w:pPr>
            <w:r>
              <w:rPr>
                <w:rFonts w:cs="Times New Roman"/>
                <w:b/>
                <w:bCs/>
                <w:color w:val="000000"/>
                <w:kern w:val="0"/>
                <w:sz w:val="21"/>
                <w:szCs w:val="21"/>
                <w:lang w:bidi="ar"/>
              </w:rPr>
              <w:t>情形</w:t>
            </w:r>
            <w:r>
              <w:rPr>
                <w:rStyle w:val="font41"/>
                <w:b/>
                <w:bCs/>
                <w:lang w:bidi="ar"/>
              </w:rPr>
              <w:t>3</w:t>
            </w:r>
            <w:r>
              <w:rPr>
                <w:rStyle w:val="font31"/>
                <w:rFonts w:ascii="Times New Roman" w:hAnsi="Times New Roman" w:cs="Times New Roman" w:hint="default"/>
                <w:b/>
                <w:bCs/>
                <w:lang w:bidi="ar"/>
              </w:rPr>
              <w:t>：</w:t>
            </w:r>
            <w:r>
              <w:rPr>
                <w:rStyle w:val="font41"/>
                <w:b/>
                <w:bCs/>
                <w:lang w:bidi="ar"/>
              </w:rPr>
              <w:t>2024</w:t>
            </w:r>
            <w:r>
              <w:rPr>
                <w:rStyle w:val="font31"/>
                <w:rFonts w:ascii="Times New Roman" w:hAnsi="Times New Roman" w:cs="Times New Roman" w:hint="default"/>
                <w:b/>
                <w:bCs/>
                <w:lang w:bidi="ar"/>
              </w:rPr>
              <w:t>年度归属于母公司股东的净利润及扣除非经常性损益后归属于母公司股东的净利润较</w:t>
            </w:r>
            <w:r>
              <w:rPr>
                <w:rStyle w:val="font41"/>
                <w:b/>
                <w:bCs/>
                <w:lang w:bidi="ar"/>
              </w:rPr>
              <w:t>2023</w:t>
            </w:r>
            <w:r>
              <w:rPr>
                <w:rStyle w:val="font31"/>
                <w:rFonts w:ascii="Times New Roman" w:hAnsi="Times New Roman" w:cs="Times New Roman" w:hint="default"/>
                <w:b/>
                <w:bCs/>
                <w:lang w:bidi="ar"/>
              </w:rPr>
              <w:t>年度数据增长</w:t>
            </w:r>
            <w:r>
              <w:rPr>
                <w:rStyle w:val="font41"/>
                <w:b/>
                <w:bCs/>
                <w:lang w:bidi="ar"/>
              </w:rPr>
              <w:t>20%</w:t>
            </w:r>
          </w:p>
        </w:tc>
      </w:tr>
      <w:tr w:rsidR="003C3FCD">
        <w:trPr>
          <w:trHeight w:val="290"/>
        </w:trPr>
        <w:tc>
          <w:tcPr>
            <w:tcW w:w="4510" w:type="dxa"/>
            <w:shd w:val="clear" w:color="auto" w:fill="auto"/>
            <w:vAlign w:val="center"/>
          </w:tcPr>
          <w:p w:rsidR="003C3FCD" w:rsidRDefault="00343C0E">
            <w:pPr>
              <w:widowControl/>
              <w:jc w:val="left"/>
              <w:textAlignment w:val="center"/>
              <w:rPr>
                <w:rFonts w:cs="Times New Roman"/>
                <w:color w:val="000000" w:themeColor="text1"/>
                <w:kern w:val="0"/>
                <w:sz w:val="21"/>
                <w:szCs w:val="21"/>
              </w:rPr>
            </w:pPr>
            <w:r>
              <w:rPr>
                <w:rFonts w:cs="Times New Roman"/>
                <w:color w:val="000000"/>
                <w:kern w:val="0"/>
                <w:sz w:val="21"/>
                <w:szCs w:val="21"/>
                <w:lang w:bidi="ar"/>
              </w:rPr>
              <w:t>归属于公司普通股股东的净利润</w:t>
            </w:r>
            <w:r>
              <w:rPr>
                <w:rFonts w:cs="Times New Roman"/>
                <w:color w:val="000000"/>
                <w:kern w:val="0"/>
                <w:sz w:val="21"/>
                <w:szCs w:val="21"/>
                <w:lang w:bidi="ar"/>
              </w:rPr>
              <w:t>(</w:t>
            </w:r>
            <w:r>
              <w:rPr>
                <w:rFonts w:cs="Times New Roman"/>
                <w:color w:val="000000"/>
                <w:kern w:val="0"/>
                <w:sz w:val="21"/>
                <w:szCs w:val="21"/>
                <w:lang w:bidi="ar"/>
              </w:rPr>
              <w:t>万元</w:t>
            </w:r>
            <w:r>
              <w:rPr>
                <w:rFonts w:cs="Times New Roman"/>
                <w:color w:val="000000"/>
                <w:kern w:val="0"/>
                <w:sz w:val="21"/>
                <w:szCs w:val="21"/>
                <w:lang w:bidi="ar"/>
              </w:rPr>
              <w:t>)</w:t>
            </w:r>
          </w:p>
        </w:tc>
        <w:tc>
          <w:tcPr>
            <w:tcW w:w="1312" w:type="dxa"/>
            <w:shd w:val="clear" w:color="auto" w:fill="auto"/>
            <w:vAlign w:val="center"/>
          </w:tcPr>
          <w:p w:rsidR="003C3FCD" w:rsidRDefault="00343C0E">
            <w:pPr>
              <w:widowControl/>
              <w:jc w:val="right"/>
              <w:textAlignment w:val="center"/>
              <w:rPr>
                <w:rFonts w:cs="Times New Roman"/>
                <w:color w:val="000000" w:themeColor="text1"/>
                <w:kern w:val="0"/>
                <w:sz w:val="21"/>
                <w:szCs w:val="21"/>
              </w:rPr>
            </w:pPr>
            <w:r>
              <w:rPr>
                <w:rFonts w:cs="Times New Roman"/>
                <w:color w:val="000000"/>
                <w:kern w:val="0"/>
                <w:sz w:val="21"/>
                <w:szCs w:val="21"/>
                <w:lang w:bidi="ar"/>
              </w:rPr>
              <w:t>1,337.82</w:t>
            </w:r>
          </w:p>
        </w:tc>
        <w:tc>
          <w:tcPr>
            <w:tcW w:w="1353" w:type="dxa"/>
            <w:shd w:val="clear" w:color="auto" w:fill="auto"/>
            <w:vAlign w:val="center"/>
          </w:tcPr>
          <w:p w:rsidR="003C3FCD" w:rsidRDefault="00343C0E">
            <w:pPr>
              <w:widowControl/>
              <w:jc w:val="right"/>
              <w:textAlignment w:val="center"/>
              <w:rPr>
                <w:rFonts w:cs="Times New Roman"/>
                <w:color w:val="000000" w:themeColor="text1"/>
                <w:kern w:val="0"/>
                <w:sz w:val="21"/>
                <w:szCs w:val="21"/>
              </w:rPr>
            </w:pPr>
            <w:r>
              <w:rPr>
                <w:rFonts w:cs="Times New Roman"/>
                <w:color w:val="000000"/>
                <w:kern w:val="0"/>
                <w:sz w:val="21"/>
                <w:szCs w:val="21"/>
                <w:lang w:bidi="ar"/>
              </w:rPr>
              <w:t>1,605.38</w:t>
            </w:r>
          </w:p>
        </w:tc>
        <w:tc>
          <w:tcPr>
            <w:tcW w:w="1347" w:type="dxa"/>
            <w:shd w:val="clear" w:color="auto" w:fill="auto"/>
            <w:vAlign w:val="center"/>
          </w:tcPr>
          <w:p w:rsidR="003C3FCD" w:rsidRDefault="00343C0E">
            <w:pPr>
              <w:widowControl/>
              <w:jc w:val="right"/>
              <w:textAlignment w:val="center"/>
              <w:rPr>
                <w:rFonts w:cs="Times New Roman"/>
                <w:color w:val="000000" w:themeColor="text1"/>
                <w:kern w:val="0"/>
                <w:sz w:val="21"/>
                <w:szCs w:val="21"/>
              </w:rPr>
            </w:pPr>
            <w:r>
              <w:rPr>
                <w:rFonts w:cs="Times New Roman"/>
                <w:color w:val="000000"/>
                <w:kern w:val="0"/>
                <w:sz w:val="21"/>
                <w:szCs w:val="21"/>
                <w:lang w:bidi="ar"/>
              </w:rPr>
              <w:t>1,605.38</w:t>
            </w:r>
          </w:p>
        </w:tc>
      </w:tr>
      <w:tr w:rsidR="003C3FCD">
        <w:trPr>
          <w:trHeight w:val="550"/>
        </w:trPr>
        <w:tc>
          <w:tcPr>
            <w:tcW w:w="4510" w:type="dxa"/>
            <w:shd w:val="clear" w:color="auto" w:fill="auto"/>
            <w:vAlign w:val="center"/>
          </w:tcPr>
          <w:p w:rsidR="003C3FCD" w:rsidRDefault="00343C0E">
            <w:pPr>
              <w:widowControl/>
              <w:jc w:val="left"/>
              <w:textAlignment w:val="center"/>
              <w:rPr>
                <w:rFonts w:cs="Times New Roman"/>
                <w:color w:val="000000" w:themeColor="text1"/>
                <w:kern w:val="0"/>
                <w:sz w:val="21"/>
                <w:szCs w:val="21"/>
              </w:rPr>
            </w:pPr>
            <w:r>
              <w:rPr>
                <w:rFonts w:cs="Times New Roman"/>
                <w:color w:val="000000"/>
                <w:kern w:val="0"/>
                <w:sz w:val="21"/>
                <w:szCs w:val="21"/>
                <w:lang w:bidi="ar"/>
              </w:rPr>
              <w:t>扣除非经常性损益后归属于公司普通股股东的净利润</w:t>
            </w:r>
            <w:r>
              <w:rPr>
                <w:rFonts w:cs="Times New Roman"/>
                <w:color w:val="000000"/>
                <w:kern w:val="0"/>
                <w:sz w:val="21"/>
                <w:szCs w:val="21"/>
                <w:lang w:bidi="ar"/>
              </w:rPr>
              <w:t>(</w:t>
            </w:r>
            <w:r>
              <w:rPr>
                <w:rFonts w:cs="Times New Roman"/>
                <w:color w:val="000000"/>
                <w:kern w:val="0"/>
                <w:sz w:val="21"/>
                <w:szCs w:val="21"/>
                <w:lang w:bidi="ar"/>
              </w:rPr>
              <w:t>万元</w:t>
            </w:r>
            <w:r>
              <w:rPr>
                <w:rFonts w:cs="Times New Roman"/>
                <w:color w:val="000000"/>
                <w:kern w:val="0"/>
                <w:sz w:val="21"/>
                <w:szCs w:val="21"/>
                <w:lang w:bidi="ar"/>
              </w:rPr>
              <w:t>)</w:t>
            </w:r>
          </w:p>
        </w:tc>
        <w:tc>
          <w:tcPr>
            <w:tcW w:w="1312" w:type="dxa"/>
            <w:shd w:val="clear" w:color="auto" w:fill="auto"/>
            <w:vAlign w:val="center"/>
          </w:tcPr>
          <w:p w:rsidR="003C3FCD" w:rsidRDefault="00343C0E">
            <w:pPr>
              <w:widowControl/>
              <w:jc w:val="right"/>
              <w:textAlignment w:val="center"/>
              <w:rPr>
                <w:rFonts w:cs="Times New Roman"/>
                <w:color w:val="000000" w:themeColor="text1"/>
                <w:kern w:val="0"/>
                <w:sz w:val="21"/>
                <w:szCs w:val="21"/>
              </w:rPr>
            </w:pPr>
            <w:r>
              <w:rPr>
                <w:rFonts w:cs="Times New Roman"/>
                <w:color w:val="000000"/>
                <w:kern w:val="0"/>
                <w:sz w:val="21"/>
                <w:szCs w:val="21"/>
                <w:lang w:bidi="ar"/>
              </w:rPr>
              <w:t>230.81</w:t>
            </w:r>
          </w:p>
        </w:tc>
        <w:tc>
          <w:tcPr>
            <w:tcW w:w="1353" w:type="dxa"/>
            <w:shd w:val="clear" w:color="auto" w:fill="auto"/>
            <w:vAlign w:val="center"/>
          </w:tcPr>
          <w:p w:rsidR="003C3FCD" w:rsidRDefault="00343C0E">
            <w:pPr>
              <w:widowControl/>
              <w:jc w:val="right"/>
              <w:textAlignment w:val="center"/>
              <w:rPr>
                <w:rFonts w:cs="Times New Roman"/>
                <w:color w:val="000000" w:themeColor="text1"/>
                <w:kern w:val="0"/>
                <w:sz w:val="21"/>
                <w:szCs w:val="21"/>
              </w:rPr>
            </w:pPr>
            <w:r>
              <w:rPr>
                <w:rFonts w:cs="Times New Roman"/>
                <w:color w:val="000000"/>
                <w:kern w:val="0"/>
                <w:sz w:val="21"/>
                <w:szCs w:val="21"/>
                <w:lang w:bidi="ar"/>
              </w:rPr>
              <w:t>276.97</w:t>
            </w:r>
          </w:p>
        </w:tc>
        <w:tc>
          <w:tcPr>
            <w:tcW w:w="1347" w:type="dxa"/>
            <w:shd w:val="clear" w:color="auto" w:fill="auto"/>
            <w:vAlign w:val="center"/>
          </w:tcPr>
          <w:p w:rsidR="003C3FCD" w:rsidRDefault="00343C0E">
            <w:pPr>
              <w:widowControl/>
              <w:jc w:val="right"/>
              <w:textAlignment w:val="center"/>
              <w:rPr>
                <w:rFonts w:cs="Times New Roman"/>
                <w:color w:val="000000" w:themeColor="text1"/>
                <w:kern w:val="0"/>
                <w:sz w:val="21"/>
                <w:szCs w:val="21"/>
              </w:rPr>
            </w:pPr>
            <w:r>
              <w:rPr>
                <w:rFonts w:cs="Times New Roman"/>
                <w:color w:val="000000"/>
                <w:kern w:val="0"/>
                <w:sz w:val="21"/>
                <w:szCs w:val="21"/>
                <w:lang w:bidi="ar"/>
              </w:rPr>
              <w:t>276.97</w:t>
            </w:r>
          </w:p>
        </w:tc>
      </w:tr>
      <w:tr w:rsidR="003C3FCD">
        <w:trPr>
          <w:trHeight w:val="290"/>
        </w:trPr>
        <w:tc>
          <w:tcPr>
            <w:tcW w:w="4510" w:type="dxa"/>
            <w:shd w:val="clear" w:color="auto" w:fill="auto"/>
            <w:vAlign w:val="center"/>
          </w:tcPr>
          <w:p w:rsidR="003C3FCD" w:rsidRDefault="00343C0E">
            <w:pPr>
              <w:widowControl/>
              <w:jc w:val="left"/>
              <w:textAlignment w:val="center"/>
              <w:rPr>
                <w:rFonts w:cs="Times New Roman"/>
                <w:color w:val="000000" w:themeColor="text1"/>
                <w:kern w:val="0"/>
                <w:sz w:val="21"/>
                <w:szCs w:val="21"/>
              </w:rPr>
            </w:pPr>
            <w:r>
              <w:rPr>
                <w:rStyle w:val="font31"/>
                <w:rFonts w:ascii="Times New Roman" w:hAnsi="Times New Roman" w:cs="Times New Roman" w:hint="default"/>
                <w:lang w:bidi="ar"/>
              </w:rPr>
              <w:t>基本每股收益</w:t>
            </w:r>
            <w:r>
              <w:rPr>
                <w:rStyle w:val="font31"/>
                <w:rFonts w:ascii="Times New Roman" w:hAnsi="Times New Roman" w:cs="Times New Roman" w:hint="default"/>
                <w:lang w:bidi="ar"/>
              </w:rPr>
              <w:t>(</w:t>
            </w:r>
            <w:r>
              <w:rPr>
                <w:rStyle w:val="font31"/>
                <w:rFonts w:ascii="Times New Roman" w:hAnsi="Times New Roman" w:cs="Times New Roman" w:hint="default"/>
                <w:lang w:bidi="ar"/>
              </w:rPr>
              <w:t>元</w:t>
            </w:r>
            <w:r>
              <w:rPr>
                <w:rStyle w:val="font41"/>
                <w:lang w:bidi="ar"/>
              </w:rPr>
              <w:t>/</w:t>
            </w:r>
            <w:r>
              <w:rPr>
                <w:rStyle w:val="font31"/>
                <w:rFonts w:ascii="Times New Roman" w:hAnsi="Times New Roman" w:cs="Times New Roman" w:hint="default"/>
                <w:lang w:bidi="ar"/>
              </w:rPr>
              <w:t>股</w:t>
            </w:r>
            <w:r>
              <w:rPr>
                <w:rStyle w:val="font31"/>
                <w:rFonts w:ascii="Times New Roman" w:hAnsi="Times New Roman" w:cs="Times New Roman" w:hint="default"/>
                <w:lang w:bidi="ar"/>
              </w:rPr>
              <w:t>)</w:t>
            </w:r>
          </w:p>
        </w:tc>
        <w:tc>
          <w:tcPr>
            <w:tcW w:w="1312" w:type="dxa"/>
            <w:shd w:val="clear" w:color="auto" w:fill="auto"/>
            <w:vAlign w:val="center"/>
          </w:tcPr>
          <w:p w:rsidR="003C3FCD" w:rsidRDefault="00343C0E">
            <w:pPr>
              <w:widowControl/>
              <w:jc w:val="right"/>
              <w:textAlignment w:val="center"/>
              <w:rPr>
                <w:rFonts w:cs="Times New Roman"/>
                <w:snapToGrid w:val="0"/>
                <w:color w:val="000000" w:themeColor="text1"/>
                <w:kern w:val="0"/>
                <w:sz w:val="21"/>
                <w:szCs w:val="21"/>
              </w:rPr>
            </w:pPr>
            <w:r>
              <w:rPr>
                <w:rFonts w:cs="Times New Roman"/>
                <w:color w:val="000000"/>
                <w:kern w:val="0"/>
                <w:sz w:val="21"/>
                <w:szCs w:val="21"/>
                <w:lang w:bidi="ar"/>
              </w:rPr>
              <w:t>0.0379</w:t>
            </w:r>
          </w:p>
        </w:tc>
        <w:tc>
          <w:tcPr>
            <w:tcW w:w="1353" w:type="dxa"/>
            <w:shd w:val="clear" w:color="auto" w:fill="auto"/>
            <w:vAlign w:val="center"/>
          </w:tcPr>
          <w:p w:rsidR="003C3FCD" w:rsidRDefault="00343C0E">
            <w:pPr>
              <w:widowControl/>
              <w:jc w:val="right"/>
              <w:textAlignment w:val="center"/>
              <w:rPr>
                <w:rFonts w:cs="Times New Roman"/>
                <w:snapToGrid w:val="0"/>
                <w:color w:val="000000" w:themeColor="text1"/>
                <w:kern w:val="0"/>
                <w:sz w:val="21"/>
                <w:szCs w:val="21"/>
              </w:rPr>
            </w:pPr>
            <w:r>
              <w:rPr>
                <w:rFonts w:cs="Times New Roman"/>
                <w:color w:val="000000"/>
                <w:kern w:val="0"/>
                <w:sz w:val="21"/>
                <w:szCs w:val="21"/>
                <w:lang w:bidi="ar"/>
              </w:rPr>
              <w:t>0.0455</w:t>
            </w:r>
          </w:p>
        </w:tc>
        <w:tc>
          <w:tcPr>
            <w:tcW w:w="1347" w:type="dxa"/>
            <w:shd w:val="clear" w:color="auto" w:fill="auto"/>
            <w:vAlign w:val="center"/>
          </w:tcPr>
          <w:p w:rsidR="003C3FCD" w:rsidRDefault="00343C0E">
            <w:pPr>
              <w:widowControl/>
              <w:jc w:val="right"/>
              <w:textAlignment w:val="center"/>
              <w:rPr>
                <w:rFonts w:eastAsia="Arial" w:cs="Times New Roman"/>
                <w:snapToGrid w:val="0"/>
                <w:color w:val="000000" w:themeColor="text1"/>
                <w:kern w:val="0"/>
                <w:sz w:val="21"/>
                <w:szCs w:val="21"/>
              </w:rPr>
            </w:pPr>
            <w:r>
              <w:rPr>
                <w:rFonts w:cs="Times New Roman"/>
                <w:color w:val="000000"/>
                <w:kern w:val="0"/>
                <w:sz w:val="21"/>
                <w:szCs w:val="21"/>
                <w:lang w:bidi="ar"/>
              </w:rPr>
              <w:t>0.0411</w:t>
            </w:r>
          </w:p>
        </w:tc>
      </w:tr>
      <w:tr w:rsidR="003C3FCD">
        <w:trPr>
          <w:trHeight w:val="290"/>
        </w:trPr>
        <w:tc>
          <w:tcPr>
            <w:tcW w:w="4510" w:type="dxa"/>
            <w:shd w:val="clear" w:color="auto" w:fill="auto"/>
            <w:vAlign w:val="center"/>
          </w:tcPr>
          <w:p w:rsidR="003C3FCD" w:rsidRDefault="00343C0E">
            <w:pPr>
              <w:widowControl/>
              <w:jc w:val="left"/>
              <w:textAlignment w:val="center"/>
              <w:rPr>
                <w:rFonts w:cs="Times New Roman"/>
                <w:color w:val="000000" w:themeColor="text1"/>
                <w:kern w:val="0"/>
                <w:sz w:val="21"/>
                <w:szCs w:val="21"/>
              </w:rPr>
            </w:pPr>
            <w:r>
              <w:rPr>
                <w:rStyle w:val="font31"/>
                <w:rFonts w:ascii="Times New Roman" w:hAnsi="Times New Roman" w:cs="Times New Roman" w:hint="default"/>
                <w:lang w:bidi="ar"/>
              </w:rPr>
              <w:t>稀释每股收益</w:t>
            </w:r>
            <w:r>
              <w:rPr>
                <w:rStyle w:val="font31"/>
                <w:rFonts w:ascii="Times New Roman" w:hAnsi="Times New Roman" w:cs="Times New Roman" w:hint="default"/>
                <w:lang w:bidi="ar"/>
              </w:rPr>
              <w:t>(</w:t>
            </w:r>
            <w:r>
              <w:rPr>
                <w:rStyle w:val="font31"/>
                <w:rFonts w:ascii="Times New Roman" w:hAnsi="Times New Roman" w:cs="Times New Roman" w:hint="default"/>
                <w:lang w:bidi="ar"/>
              </w:rPr>
              <w:t>元</w:t>
            </w:r>
            <w:r>
              <w:rPr>
                <w:rStyle w:val="font41"/>
                <w:lang w:bidi="ar"/>
              </w:rPr>
              <w:t>/</w:t>
            </w:r>
            <w:r>
              <w:rPr>
                <w:rStyle w:val="font31"/>
                <w:rFonts w:ascii="Times New Roman" w:hAnsi="Times New Roman" w:cs="Times New Roman" w:hint="default"/>
                <w:lang w:bidi="ar"/>
              </w:rPr>
              <w:t>股</w:t>
            </w:r>
            <w:r>
              <w:rPr>
                <w:rStyle w:val="font31"/>
                <w:rFonts w:ascii="Times New Roman" w:hAnsi="Times New Roman" w:cs="Times New Roman" w:hint="default"/>
                <w:lang w:bidi="ar"/>
              </w:rPr>
              <w:t>)</w:t>
            </w:r>
          </w:p>
        </w:tc>
        <w:tc>
          <w:tcPr>
            <w:tcW w:w="1312" w:type="dxa"/>
            <w:shd w:val="clear" w:color="auto" w:fill="auto"/>
            <w:vAlign w:val="center"/>
          </w:tcPr>
          <w:p w:rsidR="003C3FCD" w:rsidRDefault="00343C0E">
            <w:pPr>
              <w:widowControl/>
              <w:jc w:val="right"/>
              <w:textAlignment w:val="center"/>
              <w:rPr>
                <w:rFonts w:cs="Times New Roman"/>
                <w:snapToGrid w:val="0"/>
                <w:color w:val="000000" w:themeColor="text1"/>
                <w:kern w:val="0"/>
                <w:sz w:val="21"/>
                <w:szCs w:val="21"/>
              </w:rPr>
            </w:pPr>
            <w:r>
              <w:rPr>
                <w:rFonts w:cs="Times New Roman"/>
                <w:color w:val="000000"/>
                <w:kern w:val="0"/>
                <w:sz w:val="21"/>
                <w:szCs w:val="21"/>
                <w:lang w:bidi="ar"/>
              </w:rPr>
              <w:t>0.0379</w:t>
            </w:r>
          </w:p>
        </w:tc>
        <w:tc>
          <w:tcPr>
            <w:tcW w:w="1353" w:type="dxa"/>
            <w:shd w:val="clear" w:color="auto" w:fill="auto"/>
            <w:vAlign w:val="center"/>
          </w:tcPr>
          <w:p w:rsidR="003C3FCD" w:rsidRDefault="00343C0E">
            <w:pPr>
              <w:widowControl/>
              <w:jc w:val="right"/>
              <w:textAlignment w:val="center"/>
              <w:rPr>
                <w:rFonts w:cs="Times New Roman"/>
                <w:snapToGrid w:val="0"/>
                <w:color w:val="000000" w:themeColor="text1"/>
                <w:kern w:val="0"/>
                <w:sz w:val="21"/>
                <w:szCs w:val="21"/>
              </w:rPr>
            </w:pPr>
            <w:r>
              <w:rPr>
                <w:rFonts w:cs="Times New Roman"/>
                <w:color w:val="000000"/>
                <w:kern w:val="0"/>
                <w:sz w:val="21"/>
                <w:szCs w:val="21"/>
                <w:lang w:bidi="ar"/>
              </w:rPr>
              <w:t>0.0455</w:t>
            </w:r>
          </w:p>
        </w:tc>
        <w:tc>
          <w:tcPr>
            <w:tcW w:w="1347" w:type="dxa"/>
            <w:shd w:val="clear" w:color="auto" w:fill="auto"/>
            <w:vAlign w:val="center"/>
          </w:tcPr>
          <w:p w:rsidR="003C3FCD" w:rsidRDefault="00343C0E">
            <w:pPr>
              <w:widowControl/>
              <w:jc w:val="right"/>
              <w:textAlignment w:val="center"/>
              <w:rPr>
                <w:rFonts w:eastAsia="Arial" w:cs="Times New Roman"/>
                <w:snapToGrid w:val="0"/>
                <w:color w:val="000000" w:themeColor="text1"/>
                <w:kern w:val="0"/>
                <w:sz w:val="21"/>
                <w:szCs w:val="21"/>
              </w:rPr>
            </w:pPr>
            <w:r>
              <w:rPr>
                <w:rFonts w:cs="Times New Roman"/>
                <w:color w:val="000000"/>
                <w:kern w:val="0"/>
                <w:sz w:val="21"/>
                <w:szCs w:val="21"/>
                <w:lang w:bidi="ar"/>
              </w:rPr>
              <w:t>0.0411</w:t>
            </w:r>
          </w:p>
        </w:tc>
      </w:tr>
      <w:tr w:rsidR="003C3FCD">
        <w:trPr>
          <w:trHeight w:val="290"/>
        </w:trPr>
        <w:tc>
          <w:tcPr>
            <w:tcW w:w="4510" w:type="dxa"/>
            <w:shd w:val="clear" w:color="auto" w:fill="auto"/>
            <w:vAlign w:val="center"/>
          </w:tcPr>
          <w:p w:rsidR="003C3FCD" w:rsidRDefault="00343C0E">
            <w:pPr>
              <w:widowControl/>
              <w:jc w:val="left"/>
              <w:textAlignment w:val="center"/>
              <w:rPr>
                <w:rFonts w:cs="Times New Roman"/>
                <w:color w:val="000000" w:themeColor="text1"/>
                <w:kern w:val="0"/>
                <w:sz w:val="21"/>
                <w:szCs w:val="21"/>
              </w:rPr>
            </w:pPr>
            <w:r>
              <w:rPr>
                <w:rStyle w:val="font31"/>
                <w:rFonts w:ascii="Times New Roman" w:hAnsi="Times New Roman" w:cs="Times New Roman" w:hint="default"/>
                <w:lang w:bidi="ar"/>
              </w:rPr>
              <w:t>扣除非经常性损益的基本每股收益</w:t>
            </w:r>
            <w:r>
              <w:rPr>
                <w:rStyle w:val="font31"/>
                <w:rFonts w:ascii="Times New Roman" w:hAnsi="Times New Roman" w:cs="Times New Roman" w:hint="default"/>
                <w:lang w:bidi="ar"/>
              </w:rPr>
              <w:t>(</w:t>
            </w:r>
            <w:r>
              <w:rPr>
                <w:rStyle w:val="font31"/>
                <w:rFonts w:ascii="Times New Roman" w:hAnsi="Times New Roman" w:cs="Times New Roman" w:hint="default"/>
                <w:lang w:bidi="ar"/>
              </w:rPr>
              <w:t>元</w:t>
            </w:r>
            <w:r>
              <w:rPr>
                <w:rStyle w:val="font41"/>
                <w:lang w:bidi="ar"/>
              </w:rPr>
              <w:t>/</w:t>
            </w:r>
            <w:r>
              <w:rPr>
                <w:rStyle w:val="font31"/>
                <w:rFonts w:ascii="Times New Roman" w:hAnsi="Times New Roman" w:cs="Times New Roman" w:hint="default"/>
                <w:lang w:bidi="ar"/>
              </w:rPr>
              <w:t>股</w:t>
            </w:r>
            <w:r>
              <w:rPr>
                <w:rStyle w:val="font31"/>
                <w:rFonts w:ascii="Times New Roman" w:hAnsi="Times New Roman" w:cs="Times New Roman" w:hint="default"/>
                <w:lang w:bidi="ar"/>
              </w:rPr>
              <w:t>)</w:t>
            </w:r>
          </w:p>
        </w:tc>
        <w:tc>
          <w:tcPr>
            <w:tcW w:w="1312" w:type="dxa"/>
            <w:shd w:val="clear" w:color="auto" w:fill="auto"/>
            <w:vAlign w:val="center"/>
          </w:tcPr>
          <w:p w:rsidR="003C3FCD" w:rsidRDefault="00343C0E">
            <w:pPr>
              <w:widowControl/>
              <w:jc w:val="right"/>
              <w:textAlignment w:val="center"/>
              <w:rPr>
                <w:rFonts w:cs="Times New Roman"/>
                <w:snapToGrid w:val="0"/>
                <w:color w:val="000000" w:themeColor="text1"/>
                <w:kern w:val="0"/>
                <w:sz w:val="21"/>
                <w:szCs w:val="21"/>
              </w:rPr>
            </w:pPr>
            <w:r>
              <w:rPr>
                <w:rFonts w:cs="Times New Roman"/>
                <w:color w:val="000000"/>
                <w:kern w:val="0"/>
                <w:sz w:val="21"/>
                <w:szCs w:val="21"/>
                <w:lang w:bidi="ar"/>
              </w:rPr>
              <w:t>0.0065</w:t>
            </w:r>
          </w:p>
        </w:tc>
        <w:tc>
          <w:tcPr>
            <w:tcW w:w="1353" w:type="dxa"/>
            <w:shd w:val="clear" w:color="auto" w:fill="auto"/>
            <w:vAlign w:val="center"/>
          </w:tcPr>
          <w:p w:rsidR="003C3FCD" w:rsidRDefault="00343C0E">
            <w:pPr>
              <w:widowControl/>
              <w:jc w:val="right"/>
              <w:textAlignment w:val="center"/>
              <w:rPr>
                <w:rFonts w:cs="Times New Roman"/>
                <w:snapToGrid w:val="0"/>
                <w:color w:val="000000" w:themeColor="text1"/>
                <w:kern w:val="0"/>
                <w:sz w:val="21"/>
                <w:szCs w:val="21"/>
              </w:rPr>
            </w:pPr>
            <w:r>
              <w:rPr>
                <w:rFonts w:cs="Times New Roman"/>
                <w:color w:val="000000"/>
                <w:kern w:val="0"/>
                <w:sz w:val="21"/>
                <w:szCs w:val="21"/>
                <w:lang w:bidi="ar"/>
              </w:rPr>
              <w:t>0.0079</w:t>
            </w:r>
          </w:p>
        </w:tc>
        <w:tc>
          <w:tcPr>
            <w:tcW w:w="1347" w:type="dxa"/>
            <w:shd w:val="clear" w:color="auto" w:fill="auto"/>
            <w:vAlign w:val="center"/>
          </w:tcPr>
          <w:p w:rsidR="003C3FCD" w:rsidRDefault="00343C0E">
            <w:pPr>
              <w:widowControl/>
              <w:jc w:val="right"/>
              <w:textAlignment w:val="center"/>
              <w:rPr>
                <w:rFonts w:eastAsia="Arial" w:cs="Times New Roman"/>
                <w:snapToGrid w:val="0"/>
                <w:color w:val="000000" w:themeColor="text1"/>
                <w:kern w:val="0"/>
                <w:sz w:val="21"/>
                <w:szCs w:val="21"/>
              </w:rPr>
            </w:pPr>
            <w:r>
              <w:rPr>
                <w:rFonts w:cs="Times New Roman"/>
                <w:color w:val="000000"/>
                <w:kern w:val="0"/>
                <w:sz w:val="21"/>
                <w:szCs w:val="21"/>
                <w:lang w:bidi="ar"/>
              </w:rPr>
              <w:t>0.0071</w:t>
            </w:r>
          </w:p>
        </w:tc>
      </w:tr>
      <w:tr w:rsidR="003C3FCD">
        <w:trPr>
          <w:trHeight w:val="290"/>
        </w:trPr>
        <w:tc>
          <w:tcPr>
            <w:tcW w:w="4510" w:type="dxa"/>
            <w:shd w:val="clear" w:color="auto" w:fill="auto"/>
            <w:vAlign w:val="center"/>
          </w:tcPr>
          <w:p w:rsidR="003C3FCD" w:rsidRDefault="00343C0E">
            <w:pPr>
              <w:widowControl/>
              <w:jc w:val="left"/>
              <w:textAlignment w:val="center"/>
              <w:rPr>
                <w:rFonts w:cs="Times New Roman"/>
                <w:color w:val="000000" w:themeColor="text1"/>
                <w:kern w:val="0"/>
                <w:sz w:val="21"/>
                <w:szCs w:val="21"/>
              </w:rPr>
            </w:pPr>
            <w:r>
              <w:rPr>
                <w:rStyle w:val="font31"/>
                <w:rFonts w:ascii="Times New Roman" w:hAnsi="Times New Roman" w:cs="Times New Roman" w:hint="default"/>
                <w:lang w:bidi="ar"/>
              </w:rPr>
              <w:t>扣除非经常性损益的稀释每股收益</w:t>
            </w:r>
            <w:r>
              <w:rPr>
                <w:rStyle w:val="font31"/>
                <w:rFonts w:ascii="Times New Roman" w:hAnsi="Times New Roman" w:cs="Times New Roman" w:hint="default"/>
                <w:lang w:bidi="ar"/>
              </w:rPr>
              <w:t>(</w:t>
            </w:r>
            <w:r>
              <w:rPr>
                <w:rStyle w:val="font31"/>
                <w:rFonts w:ascii="Times New Roman" w:hAnsi="Times New Roman" w:cs="Times New Roman" w:hint="default"/>
                <w:lang w:bidi="ar"/>
              </w:rPr>
              <w:t>元</w:t>
            </w:r>
            <w:r>
              <w:rPr>
                <w:rStyle w:val="font41"/>
                <w:lang w:bidi="ar"/>
              </w:rPr>
              <w:t>/</w:t>
            </w:r>
            <w:r>
              <w:rPr>
                <w:rStyle w:val="font31"/>
                <w:rFonts w:ascii="Times New Roman" w:hAnsi="Times New Roman" w:cs="Times New Roman" w:hint="default"/>
                <w:lang w:bidi="ar"/>
              </w:rPr>
              <w:t>股</w:t>
            </w:r>
            <w:r>
              <w:rPr>
                <w:rStyle w:val="font31"/>
                <w:rFonts w:ascii="Times New Roman" w:hAnsi="Times New Roman" w:cs="Times New Roman" w:hint="default"/>
                <w:lang w:bidi="ar"/>
              </w:rPr>
              <w:t>)</w:t>
            </w:r>
          </w:p>
        </w:tc>
        <w:tc>
          <w:tcPr>
            <w:tcW w:w="1312" w:type="dxa"/>
            <w:shd w:val="clear" w:color="auto" w:fill="auto"/>
            <w:vAlign w:val="center"/>
          </w:tcPr>
          <w:p w:rsidR="003C3FCD" w:rsidRDefault="00343C0E">
            <w:pPr>
              <w:widowControl/>
              <w:jc w:val="right"/>
              <w:textAlignment w:val="center"/>
              <w:rPr>
                <w:rFonts w:cs="Times New Roman"/>
                <w:snapToGrid w:val="0"/>
                <w:color w:val="000000" w:themeColor="text1"/>
                <w:kern w:val="0"/>
                <w:sz w:val="21"/>
                <w:szCs w:val="21"/>
              </w:rPr>
            </w:pPr>
            <w:r>
              <w:rPr>
                <w:rFonts w:cs="Times New Roman"/>
                <w:color w:val="000000"/>
                <w:kern w:val="0"/>
                <w:sz w:val="21"/>
                <w:szCs w:val="21"/>
                <w:lang w:bidi="ar"/>
              </w:rPr>
              <w:t>0.0065</w:t>
            </w:r>
          </w:p>
        </w:tc>
        <w:tc>
          <w:tcPr>
            <w:tcW w:w="1353" w:type="dxa"/>
            <w:shd w:val="clear" w:color="auto" w:fill="auto"/>
            <w:vAlign w:val="center"/>
          </w:tcPr>
          <w:p w:rsidR="003C3FCD" w:rsidRDefault="00343C0E">
            <w:pPr>
              <w:widowControl/>
              <w:jc w:val="right"/>
              <w:textAlignment w:val="center"/>
              <w:rPr>
                <w:rFonts w:cs="Times New Roman"/>
                <w:snapToGrid w:val="0"/>
                <w:color w:val="000000" w:themeColor="text1"/>
                <w:kern w:val="0"/>
                <w:sz w:val="21"/>
                <w:szCs w:val="21"/>
              </w:rPr>
            </w:pPr>
            <w:r>
              <w:rPr>
                <w:rFonts w:cs="Times New Roman"/>
                <w:color w:val="000000"/>
                <w:kern w:val="0"/>
                <w:sz w:val="21"/>
                <w:szCs w:val="21"/>
                <w:lang w:bidi="ar"/>
              </w:rPr>
              <w:t>0.0079</w:t>
            </w:r>
          </w:p>
        </w:tc>
        <w:tc>
          <w:tcPr>
            <w:tcW w:w="1347" w:type="dxa"/>
            <w:shd w:val="clear" w:color="auto" w:fill="auto"/>
            <w:vAlign w:val="center"/>
          </w:tcPr>
          <w:p w:rsidR="003C3FCD" w:rsidRDefault="00343C0E">
            <w:pPr>
              <w:widowControl/>
              <w:jc w:val="right"/>
              <w:textAlignment w:val="center"/>
              <w:rPr>
                <w:rFonts w:eastAsia="Arial" w:cs="Times New Roman"/>
                <w:snapToGrid w:val="0"/>
                <w:color w:val="000000" w:themeColor="text1"/>
                <w:kern w:val="0"/>
                <w:sz w:val="21"/>
                <w:szCs w:val="21"/>
              </w:rPr>
            </w:pPr>
            <w:r>
              <w:rPr>
                <w:rFonts w:cs="Times New Roman"/>
                <w:color w:val="000000"/>
                <w:kern w:val="0"/>
                <w:sz w:val="21"/>
                <w:szCs w:val="21"/>
                <w:lang w:bidi="ar"/>
              </w:rPr>
              <w:t>0.0071</w:t>
            </w:r>
          </w:p>
        </w:tc>
      </w:tr>
    </w:tbl>
    <w:p w:rsidR="003C3FCD" w:rsidRDefault="00343C0E">
      <w:pPr>
        <w:pStyle w:val="2"/>
        <w:spacing w:before="120" w:after="120" w:line="360" w:lineRule="auto"/>
        <w:rPr>
          <w:rFonts w:ascii="Times New Roman" w:eastAsia="黑体" w:hAnsi="Times New Roman" w:cs="Times New Roman"/>
          <w:color w:val="000000" w:themeColor="text1"/>
          <w:sz w:val="28"/>
        </w:rPr>
      </w:pPr>
      <w:bookmarkStart w:id="53" w:name="_Toc146198234"/>
      <w:bookmarkEnd w:id="51"/>
      <w:r>
        <w:rPr>
          <w:rFonts w:ascii="Times New Roman" w:eastAsia="黑体" w:hAnsi="Times New Roman" w:cs="Times New Roman"/>
          <w:color w:val="000000" w:themeColor="text1"/>
          <w:sz w:val="28"/>
        </w:rPr>
        <w:t>二、关于本次发行股票摊薄即期回报的特别风险提示</w:t>
      </w:r>
      <w:bookmarkEnd w:id="53"/>
      <w:r>
        <w:rPr>
          <w:rFonts w:ascii="Times New Roman" w:eastAsia="黑体" w:hAnsi="Times New Roman" w:cs="Times New Roman"/>
          <w:color w:val="000000" w:themeColor="text1"/>
          <w:sz w:val="28"/>
        </w:rPr>
        <w:tab/>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本次募集资金到位后，公司的总股本和净资产将会有一定幅度的增加。由于募集资金项目有一定的建设周期，且从项目建成到产生效益也需要一定的过程和时间。在公司总股本和净资产均增加的情况下，若未来公司收入规模和利润水平不能实现相应幅度的增长，则每股收益等指标将存在一定幅度下降的风险。提请广大投资者注意本次发行摊薄即期回报的风险。</w:t>
      </w:r>
    </w:p>
    <w:p w:rsidR="003C3FCD" w:rsidRDefault="00343C0E">
      <w:pPr>
        <w:pStyle w:val="2"/>
        <w:spacing w:before="120" w:after="120" w:line="360" w:lineRule="auto"/>
        <w:rPr>
          <w:rFonts w:ascii="Times New Roman" w:eastAsia="黑体" w:hAnsi="Times New Roman" w:cs="Times New Roman"/>
          <w:color w:val="000000" w:themeColor="text1"/>
          <w:sz w:val="28"/>
        </w:rPr>
      </w:pPr>
      <w:bookmarkStart w:id="54" w:name="_Toc146198235"/>
      <w:r>
        <w:rPr>
          <w:rFonts w:ascii="Times New Roman" w:eastAsia="黑体" w:hAnsi="Times New Roman" w:cs="Times New Roman"/>
          <w:color w:val="000000" w:themeColor="text1"/>
          <w:sz w:val="28"/>
        </w:rPr>
        <w:t>三、本次发行的必要性和合理性</w:t>
      </w:r>
      <w:bookmarkEnd w:id="54"/>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本次发行的必要性和合理性分析，详见本预案</w:t>
      </w:r>
      <w:r>
        <w:rPr>
          <w:rFonts w:cs="Times New Roman" w:hint="eastAsia"/>
          <w:color w:val="000000" w:themeColor="text1"/>
        </w:rPr>
        <w:t>“</w:t>
      </w:r>
      <w:r>
        <w:rPr>
          <w:rFonts w:cs="Times New Roman"/>
          <w:color w:val="000000" w:themeColor="text1"/>
        </w:rPr>
        <w:t>第二节</w:t>
      </w:r>
      <w:r>
        <w:rPr>
          <w:rFonts w:cs="Times New Roman"/>
          <w:color w:val="000000" w:themeColor="text1"/>
        </w:rPr>
        <w:t xml:space="preserve"> </w:t>
      </w:r>
      <w:r>
        <w:rPr>
          <w:rFonts w:cs="Times New Roman"/>
          <w:color w:val="000000" w:themeColor="text1"/>
        </w:rPr>
        <w:t>董事会关于本次募集资金运用的可行性分析</w:t>
      </w:r>
      <w:r>
        <w:rPr>
          <w:rFonts w:cs="Times New Roman" w:hint="eastAsia"/>
          <w:color w:val="000000" w:themeColor="text1"/>
        </w:rPr>
        <w:t>”</w:t>
      </w:r>
      <w:r>
        <w:rPr>
          <w:rFonts w:cs="Times New Roman"/>
          <w:color w:val="000000" w:themeColor="text1"/>
        </w:rPr>
        <w:t>。</w:t>
      </w:r>
    </w:p>
    <w:p w:rsidR="003C3FCD" w:rsidRDefault="00343C0E">
      <w:pPr>
        <w:pStyle w:val="2"/>
        <w:spacing w:before="120" w:after="120" w:line="360" w:lineRule="auto"/>
        <w:rPr>
          <w:rFonts w:ascii="Times New Roman" w:eastAsia="黑体" w:hAnsi="Times New Roman" w:cs="Times New Roman"/>
          <w:color w:val="000000" w:themeColor="text1"/>
          <w:sz w:val="28"/>
        </w:rPr>
      </w:pPr>
      <w:bookmarkStart w:id="55" w:name="_Toc146198236"/>
      <w:r>
        <w:rPr>
          <w:rFonts w:ascii="Times New Roman" w:eastAsia="黑体" w:hAnsi="Times New Roman" w:cs="Times New Roman"/>
          <w:color w:val="000000" w:themeColor="text1"/>
          <w:sz w:val="28"/>
        </w:rPr>
        <w:t>四、本次募集资金投资项目与公司现有业务的关系以及公司在人员、技术、市场等方面的储备情况</w:t>
      </w:r>
      <w:bookmarkEnd w:id="55"/>
    </w:p>
    <w:p w:rsidR="003C3FCD" w:rsidRDefault="00343C0E">
      <w:pPr>
        <w:pStyle w:val="3"/>
        <w:spacing w:before="120" w:after="120" w:line="360" w:lineRule="auto"/>
        <w:ind w:firstLineChars="200" w:firstLine="482"/>
        <w:rPr>
          <w:rFonts w:cs="Times New Roman"/>
          <w:color w:val="000000" w:themeColor="text1"/>
          <w:sz w:val="24"/>
        </w:rPr>
      </w:pPr>
      <w:r>
        <w:rPr>
          <w:rFonts w:cs="Times New Roman"/>
          <w:color w:val="000000" w:themeColor="text1"/>
          <w:sz w:val="24"/>
        </w:rPr>
        <w:t>（一）本次募集资金投资项目与公司现有业务的关系</w:t>
      </w:r>
    </w:p>
    <w:p w:rsidR="003C3FCD" w:rsidRDefault="00343C0E">
      <w:pPr>
        <w:pStyle w:val="a9"/>
        <w:shd w:val="clear" w:color="auto" w:fill="FFFFFF"/>
        <w:spacing w:before="156" w:beforeAutospacing="0" w:after="156" w:afterAutospacing="0" w:line="360" w:lineRule="auto"/>
        <w:ind w:firstLineChars="200" w:firstLine="480"/>
        <w:jc w:val="both"/>
        <w:rPr>
          <w:color w:val="303133"/>
          <w:shd w:val="clear" w:color="auto" w:fill="FFFFFF"/>
        </w:rPr>
      </w:pPr>
      <w:r>
        <w:rPr>
          <w:color w:val="303133"/>
          <w:shd w:val="clear" w:color="auto" w:fill="FFFFFF"/>
        </w:rPr>
        <w:t>公司本次</w:t>
      </w:r>
      <w:proofErr w:type="gramStart"/>
      <w:r>
        <w:rPr>
          <w:color w:val="303133"/>
          <w:shd w:val="clear" w:color="auto" w:fill="FFFFFF"/>
        </w:rPr>
        <w:t>募投项目</w:t>
      </w:r>
      <w:proofErr w:type="gramEnd"/>
      <w:r>
        <w:rPr>
          <w:color w:val="303133"/>
          <w:shd w:val="clear" w:color="auto" w:fill="FFFFFF"/>
        </w:rPr>
        <w:t>为宝坻新城第二水厂工程（一期）项目以及补充流动资金，其中宝坻新城第二水厂工程（一期）项目系公司现有主营业务供水业务进一步提升业务规模，补充流动资金主要系提升公司营运资金规模，满足业务发展需求，为公司可持续发展打下良好的基础。因此，本次募集资金主要投向公司的既有业</w:t>
      </w:r>
      <w:r>
        <w:rPr>
          <w:color w:val="303133"/>
          <w:shd w:val="clear" w:color="auto" w:fill="FFFFFF"/>
        </w:rPr>
        <w:lastRenderedPageBreak/>
        <w:t>务，有助于公司稳步推进市场扩张，提高市场占有率，符合公司的发展战略。</w:t>
      </w:r>
    </w:p>
    <w:p w:rsidR="003C3FCD" w:rsidRDefault="00343C0E">
      <w:pPr>
        <w:pStyle w:val="3"/>
        <w:spacing w:before="120" w:after="120" w:line="360" w:lineRule="auto"/>
        <w:ind w:firstLineChars="200" w:firstLine="482"/>
        <w:rPr>
          <w:rFonts w:cs="Times New Roman"/>
          <w:color w:val="000000" w:themeColor="text1"/>
          <w:sz w:val="24"/>
        </w:rPr>
      </w:pPr>
      <w:r>
        <w:rPr>
          <w:rFonts w:cs="Times New Roman"/>
          <w:color w:val="000000" w:themeColor="text1"/>
          <w:sz w:val="24"/>
        </w:rPr>
        <w:t>（二）公司在人员、技术、市场等方面的储备情况</w:t>
      </w:r>
    </w:p>
    <w:p w:rsidR="003C3FCD" w:rsidRDefault="00343C0E">
      <w:pPr>
        <w:spacing w:beforeLines="50" w:before="163" w:afterLines="50" w:after="163" w:line="360" w:lineRule="auto"/>
        <w:ind w:firstLineChars="200" w:firstLine="482"/>
        <w:rPr>
          <w:rFonts w:cs="Times New Roman"/>
          <w:b/>
          <w:color w:val="000000" w:themeColor="text1"/>
        </w:rPr>
      </w:pPr>
      <w:r>
        <w:rPr>
          <w:rFonts w:cs="Times New Roman"/>
          <w:b/>
          <w:color w:val="000000" w:themeColor="text1"/>
        </w:rPr>
        <w:t>1</w:t>
      </w:r>
      <w:r>
        <w:rPr>
          <w:rFonts w:cs="Times New Roman"/>
          <w:b/>
          <w:color w:val="000000" w:themeColor="text1"/>
        </w:rPr>
        <w:t>、人员储备</w:t>
      </w:r>
    </w:p>
    <w:p w:rsidR="003C3FCD" w:rsidRDefault="00343C0E">
      <w:pPr>
        <w:spacing w:line="360" w:lineRule="auto"/>
        <w:ind w:firstLineChars="200" w:firstLine="480"/>
        <w:rPr>
          <w:rFonts w:cs="Times New Roman"/>
        </w:rPr>
      </w:pPr>
      <w:r>
        <w:rPr>
          <w:rFonts w:cs="Times New Roman"/>
        </w:rPr>
        <w:t>近年来，公司始终注重人才队伍的培养，拥有一支稳定专业的管理和研发团队，多年来与公司共同成长，积累了大量的实践经验与管理、研发能力。本次</w:t>
      </w:r>
      <w:proofErr w:type="gramStart"/>
      <w:r>
        <w:rPr>
          <w:rFonts w:cs="Times New Roman"/>
        </w:rPr>
        <w:t>募投项目</w:t>
      </w:r>
      <w:proofErr w:type="gramEnd"/>
      <w:r>
        <w:rPr>
          <w:rFonts w:cs="Times New Roman"/>
          <w:color w:val="303133"/>
          <w:shd w:val="clear" w:color="auto" w:fill="FFFFFF"/>
        </w:rPr>
        <w:t>宝坻新城第二水厂工程（一期）项目为自来水供水业务</w:t>
      </w:r>
      <w:r>
        <w:rPr>
          <w:rFonts w:cs="Times New Roman"/>
        </w:rPr>
        <w:t>，公司人员具有丰富的管理及运营经验</w:t>
      </w:r>
      <w:r>
        <w:rPr>
          <w:rFonts w:cs="Times New Roman" w:hint="eastAsia"/>
        </w:rPr>
        <w:t>。</w:t>
      </w:r>
      <w:r>
        <w:rPr>
          <w:rFonts w:cs="Times New Roman"/>
        </w:rPr>
        <w:t>高素质的人才队伍为</w:t>
      </w:r>
      <w:proofErr w:type="gramStart"/>
      <w:r>
        <w:rPr>
          <w:rFonts w:cs="Times New Roman" w:hint="eastAsia"/>
        </w:rPr>
        <w:t>募投项目</w:t>
      </w:r>
      <w:proofErr w:type="gramEnd"/>
      <w:r>
        <w:rPr>
          <w:rFonts w:cs="Times New Roman" w:hint="eastAsia"/>
        </w:rPr>
        <w:t>的实施</w:t>
      </w:r>
      <w:r>
        <w:rPr>
          <w:rFonts w:cs="Times New Roman"/>
        </w:rPr>
        <w:t>提供了有力保障。</w:t>
      </w:r>
    </w:p>
    <w:p w:rsidR="003C3FCD" w:rsidRDefault="00343C0E">
      <w:pPr>
        <w:spacing w:beforeLines="50" w:before="163" w:afterLines="50" w:after="163" w:line="360" w:lineRule="auto"/>
        <w:ind w:firstLineChars="200" w:firstLine="482"/>
        <w:rPr>
          <w:rFonts w:cs="Times New Roman"/>
          <w:b/>
          <w:color w:val="000000" w:themeColor="text1"/>
        </w:rPr>
      </w:pPr>
      <w:r>
        <w:rPr>
          <w:rFonts w:cs="Times New Roman"/>
          <w:b/>
          <w:color w:val="000000" w:themeColor="text1"/>
        </w:rPr>
        <w:t>2</w:t>
      </w:r>
      <w:r>
        <w:rPr>
          <w:rFonts w:cs="Times New Roman"/>
          <w:b/>
          <w:color w:val="000000" w:themeColor="text1"/>
        </w:rPr>
        <w:t>、技术储备</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公司深耕所处行业，以科技为引领，将科技优势转化为发展优势，提升公司的核心竞争力、增强核心功能。公司建有国家级院士专家工作站、全流程自动控制系统及独立知识产权的</w:t>
      </w:r>
      <w:r>
        <w:rPr>
          <w:rFonts w:cs="Times New Roman" w:hint="eastAsia"/>
          <w:color w:val="000000" w:themeColor="text1"/>
        </w:rPr>
        <w:t>“</w:t>
      </w:r>
      <w:r>
        <w:rPr>
          <w:rFonts w:cs="Times New Roman"/>
          <w:color w:val="000000" w:themeColor="text1"/>
        </w:rPr>
        <w:t>大数据控制中心</w:t>
      </w:r>
      <w:r>
        <w:rPr>
          <w:rFonts w:cs="Times New Roman" w:hint="eastAsia"/>
          <w:color w:val="000000" w:themeColor="text1"/>
        </w:rPr>
        <w:t>”</w:t>
      </w:r>
      <w:r>
        <w:rPr>
          <w:rFonts w:cs="Times New Roman"/>
          <w:color w:val="000000" w:themeColor="text1"/>
        </w:rPr>
        <w:t>。截至</w:t>
      </w:r>
      <w:r>
        <w:rPr>
          <w:rFonts w:cs="Times New Roman"/>
          <w:color w:val="000000" w:themeColor="text1"/>
        </w:rPr>
        <w:t>2023</w:t>
      </w:r>
      <w:r>
        <w:rPr>
          <w:rFonts w:cs="Times New Roman"/>
          <w:color w:val="000000" w:themeColor="text1"/>
        </w:rPr>
        <w:t>年</w:t>
      </w:r>
      <w:r>
        <w:rPr>
          <w:rFonts w:cs="Times New Roman"/>
          <w:color w:val="000000" w:themeColor="text1"/>
        </w:rPr>
        <w:t>9</w:t>
      </w:r>
      <w:r>
        <w:rPr>
          <w:rFonts w:cs="Times New Roman"/>
          <w:color w:val="000000" w:themeColor="text1"/>
        </w:rPr>
        <w:t>月末，公司已取得授权专利</w:t>
      </w:r>
      <w:r>
        <w:rPr>
          <w:rFonts w:cs="Times New Roman"/>
          <w:color w:val="000000" w:themeColor="text1"/>
        </w:rPr>
        <w:t>97</w:t>
      </w:r>
      <w:r>
        <w:rPr>
          <w:rFonts w:cs="Times New Roman"/>
          <w:color w:val="000000" w:themeColor="text1"/>
        </w:rPr>
        <w:t>项，研发实力和技术储备为项目开展提供了技术支持。</w:t>
      </w:r>
    </w:p>
    <w:p w:rsidR="003C3FCD" w:rsidRDefault="00343C0E">
      <w:pPr>
        <w:spacing w:beforeLines="50" w:before="163" w:afterLines="50" w:after="163" w:line="360" w:lineRule="auto"/>
        <w:ind w:firstLineChars="200" w:firstLine="482"/>
        <w:rPr>
          <w:rFonts w:cs="Times New Roman"/>
          <w:b/>
          <w:color w:val="000000" w:themeColor="text1"/>
        </w:rPr>
      </w:pPr>
      <w:r>
        <w:rPr>
          <w:rFonts w:cs="Times New Roman"/>
          <w:b/>
          <w:color w:val="000000" w:themeColor="text1"/>
        </w:rPr>
        <w:t>3</w:t>
      </w:r>
      <w:r>
        <w:rPr>
          <w:rFonts w:cs="Times New Roman"/>
          <w:b/>
          <w:color w:val="000000" w:themeColor="text1"/>
        </w:rPr>
        <w:t>、市场储备</w:t>
      </w:r>
    </w:p>
    <w:p w:rsidR="003C3FCD" w:rsidRDefault="00343C0E">
      <w:pPr>
        <w:spacing w:line="360" w:lineRule="auto"/>
        <w:ind w:firstLineChars="200" w:firstLine="480"/>
        <w:rPr>
          <w:rFonts w:cs="Times New Roman"/>
        </w:rPr>
      </w:pPr>
      <w:r>
        <w:rPr>
          <w:rFonts w:cs="Times New Roman"/>
        </w:rPr>
        <w:t>公司是滨海新区引</w:t>
      </w:r>
      <w:proofErr w:type="gramStart"/>
      <w:r>
        <w:rPr>
          <w:rFonts w:cs="Times New Roman"/>
        </w:rPr>
        <w:t>滦</w:t>
      </w:r>
      <w:proofErr w:type="gramEnd"/>
      <w:r>
        <w:rPr>
          <w:rFonts w:cs="Times New Roman"/>
        </w:rPr>
        <w:t>原水的主要供应商和部分区域的自来水供应商，相继组建了多家控股水务公司，投资建设了一系列引水管线工程和水处理输配工程</w:t>
      </w:r>
      <w:r>
        <w:rPr>
          <w:rFonts w:cs="Times New Roman" w:hint="eastAsia"/>
        </w:rPr>
        <w:t>，形成了厂网一体化的运作模式</w:t>
      </w:r>
      <w:r>
        <w:rPr>
          <w:rFonts w:cs="Times New Roman"/>
        </w:rPr>
        <w:t>。自来水业务主要依赖两方面的基础建设，即自来水厂和输水管网，水厂供水规模和输水管网长度、辐射面积决定了未来的可供水区域的大小。伴随着供水业务的不断扩展，公司</w:t>
      </w:r>
      <w:r>
        <w:rPr>
          <w:rFonts w:cs="Times New Roman" w:hint="eastAsia"/>
        </w:rPr>
        <w:t>可</w:t>
      </w:r>
      <w:r>
        <w:rPr>
          <w:rFonts w:cs="Times New Roman"/>
        </w:rPr>
        <w:t>充分利用厂网一体化的优势，提高市场占有率</w:t>
      </w:r>
      <w:r>
        <w:rPr>
          <w:rFonts w:cs="Times New Roman" w:hint="eastAsia"/>
        </w:rPr>
        <w:t>及</w:t>
      </w:r>
      <w:r>
        <w:rPr>
          <w:rFonts w:cs="Times New Roman"/>
        </w:rPr>
        <w:t>对目标市场的挖掘力和开拓力。</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综上所述，公司本次募集资金投资项目在人员、技术、市场等方面均具有良好的资源储备，能够保证</w:t>
      </w:r>
      <w:proofErr w:type="gramStart"/>
      <w:r>
        <w:rPr>
          <w:rFonts w:cs="Times New Roman"/>
          <w:color w:val="000000" w:themeColor="text1"/>
        </w:rPr>
        <w:t>募投项目</w:t>
      </w:r>
      <w:proofErr w:type="gramEnd"/>
      <w:r>
        <w:rPr>
          <w:rFonts w:cs="Times New Roman"/>
          <w:color w:val="000000" w:themeColor="text1"/>
        </w:rPr>
        <w:t>的顺利实施。</w:t>
      </w:r>
    </w:p>
    <w:p w:rsidR="003C3FCD" w:rsidRDefault="00343C0E">
      <w:pPr>
        <w:pStyle w:val="2"/>
        <w:spacing w:before="120" w:after="120" w:line="360" w:lineRule="auto"/>
        <w:rPr>
          <w:rFonts w:ascii="Times New Roman" w:eastAsia="黑体" w:hAnsi="Times New Roman" w:cs="Times New Roman"/>
          <w:color w:val="000000" w:themeColor="text1"/>
          <w:sz w:val="28"/>
        </w:rPr>
      </w:pPr>
      <w:bookmarkStart w:id="56" w:name="_Toc146198237"/>
      <w:r>
        <w:rPr>
          <w:rFonts w:ascii="Times New Roman" w:eastAsia="黑体" w:hAnsi="Times New Roman" w:cs="Times New Roman"/>
          <w:color w:val="000000" w:themeColor="text1"/>
          <w:sz w:val="28"/>
        </w:rPr>
        <w:t>五、本次发行摊薄即期回报的填补措施</w:t>
      </w:r>
      <w:bookmarkEnd w:id="56"/>
      <w:r>
        <w:rPr>
          <w:rFonts w:ascii="Times New Roman" w:eastAsia="黑体" w:hAnsi="Times New Roman" w:cs="Times New Roman"/>
          <w:color w:val="000000" w:themeColor="text1"/>
          <w:sz w:val="28"/>
        </w:rPr>
        <w:tab/>
      </w:r>
    </w:p>
    <w:p w:rsidR="003C3FCD" w:rsidRDefault="00343C0E">
      <w:pPr>
        <w:spacing w:beforeLines="50" w:before="163" w:afterLines="50" w:after="163" w:line="360" w:lineRule="auto"/>
        <w:ind w:firstLineChars="200" w:firstLine="480"/>
        <w:rPr>
          <w:rFonts w:cs="Times New Roman"/>
          <w:color w:val="000000" w:themeColor="text1"/>
        </w:rPr>
      </w:pPr>
      <w:bookmarkStart w:id="57" w:name="_Toc140187626"/>
      <w:r>
        <w:rPr>
          <w:rFonts w:cs="Times New Roman"/>
          <w:color w:val="000000" w:themeColor="text1"/>
        </w:rPr>
        <w:t>为保护投资者利益，保证公司本次募集资金的有效使用，防范即期回报被摊薄的风险，提高对公司股东回报能力，公司拟采取如下填补措施：</w:t>
      </w:r>
    </w:p>
    <w:p w:rsidR="003C3FCD" w:rsidRDefault="00343C0E">
      <w:pPr>
        <w:pStyle w:val="3"/>
        <w:spacing w:before="120" w:after="120" w:line="360" w:lineRule="auto"/>
        <w:ind w:firstLineChars="200" w:firstLine="482"/>
        <w:rPr>
          <w:rFonts w:cs="Times New Roman"/>
          <w:color w:val="000000" w:themeColor="text1"/>
          <w:sz w:val="24"/>
        </w:rPr>
      </w:pPr>
      <w:r>
        <w:rPr>
          <w:rFonts w:cs="Times New Roman"/>
          <w:color w:val="000000" w:themeColor="text1"/>
          <w:sz w:val="24"/>
        </w:rPr>
        <w:lastRenderedPageBreak/>
        <w:t>（一）加强募集资金管理，确保募集资金使用合法合</w:t>
      </w:r>
      <w:proofErr w:type="gramStart"/>
      <w:r>
        <w:rPr>
          <w:rFonts w:cs="Times New Roman"/>
          <w:color w:val="000000" w:themeColor="text1"/>
          <w:sz w:val="24"/>
        </w:rPr>
        <w:t>规</w:t>
      </w:r>
      <w:bookmarkEnd w:id="57"/>
      <w:proofErr w:type="gramEnd"/>
    </w:p>
    <w:p w:rsidR="003C3FCD" w:rsidRDefault="00343C0E">
      <w:pPr>
        <w:autoSpaceDE w:val="0"/>
        <w:autoSpaceDN w:val="0"/>
        <w:adjustRightInd w:val="0"/>
        <w:snapToGrid w:val="0"/>
        <w:spacing w:beforeLines="50" w:before="163" w:afterLines="50" w:after="163" w:line="360" w:lineRule="auto"/>
        <w:ind w:firstLineChars="200" w:firstLine="480"/>
        <w:textAlignment w:val="baseline"/>
        <w:rPr>
          <w:rFonts w:cs="Times New Roman"/>
          <w:color w:val="000000" w:themeColor="text1"/>
        </w:rPr>
      </w:pPr>
      <w:r>
        <w:rPr>
          <w:rFonts w:cs="Times New Roman"/>
          <w:color w:val="000000" w:themeColor="text1"/>
        </w:rPr>
        <w:t>为了规范公司募集资金的管理和运用，切实保护投资者的合法权益，公司制定了《募集资金管理制度》，对募集资金存储、使用、监督和责任追究等内容进行明确规定。公司将严格遵守《募集资金管理制度》等相关规定，由保荐机构、存管银行、公司共同监管募集资金按照承诺用途和金额使用，保障募集资金用于承诺的投资项目，配合监管银行和保荐机构对募集资金使用的检查和监督。</w:t>
      </w:r>
    </w:p>
    <w:p w:rsidR="003C3FCD" w:rsidRDefault="00343C0E">
      <w:pPr>
        <w:pStyle w:val="3"/>
        <w:spacing w:before="120" w:after="120" w:line="360" w:lineRule="auto"/>
        <w:ind w:firstLineChars="200" w:firstLine="482"/>
        <w:rPr>
          <w:rFonts w:cs="Times New Roman"/>
          <w:color w:val="000000" w:themeColor="text1"/>
          <w:sz w:val="24"/>
        </w:rPr>
      </w:pPr>
      <w:bookmarkStart w:id="58" w:name="_Toc140187627"/>
      <w:r>
        <w:rPr>
          <w:rFonts w:cs="Times New Roman"/>
          <w:color w:val="000000" w:themeColor="text1"/>
          <w:sz w:val="24"/>
        </w:rPr>
        <w:t>（二）积极落实募集资金投资项目，助力公司业务发展</w:t>
      </w:r>
      <w:bookmarkEnd w:id="58"/>
    </w:p>
    <w:p w:rsidR="003C3FCD" w:rsidRDefault="00343C0E">
      <w:pPr>
        <w:autoSpaceDE w:val="0"/>
        <w:autoSpaceDN w:val="0"/>
        <w:adjustRightInd w:val="0"/>
        <w:snapToGrid w:val="0"/>
        <w:spacing w:beforeLines="50" w:before="163" w:afterLines="50" w:after="163" w:line="360" w:lineRule="auto"/>
        <w:ind w:firstLineChars="200" w:firstLine="480"/>
        <w:textAlignment w:val="baseline"/>
        <w:rPr>
          <w:rFonts w:cs="Times New Roman"/>
          <w:color w:val="000000" w:themeColor="text1"/>
        </w:rPr>
      </w:pPr>
      <w:r>
        <w:rPr>
          <w:rFonts w:cs="Times New Roman"/>
          <w:color w:val="000000" w:themeColor="text1"/>
        </w:rPr>
        <w:t>公司董事会已对本次发行募集资金投资项目的可行性进行了充分论证，</w:t>
      </w:r>
      <w:proofErr w:type="gramStart"/>
      <w:r>
        <w:rPr>
          <w:rFonts w:cs="Times New Roman"/>
          <w:color w:val="000000" w:themeColor="text1"/>
        </w:rPr>
        <w:t>募投项目</w:t>
      </w:r>
      <w:proofErr w:type="gramEnd"/>
      <w:r>
        <w:rPr>
          <w:rFonts w:cs="Times New Roman"/>
          <w:color w:val="000000" w:themeColor="text1"/>
        </w:rPr>
        <w:t>符合行业发展趋势及公司未来整体战略发展方向。通过本次发行募集资金投资项目的实施，公司将进一步夯实资本实力，优化公司治理结构和资产结构，扩大经营规模和市场占有率。在募集资金到位后，公司将积极推进和落实募集资金投资项目的开展工作，确保</w:t>
      </w:r>
      <w:proofErr w:type="gramStart"/>
      <w:r>
        <w:rPr>
          <w:rFonts w:cs="Times New Roman"/>
          <w:color w:val="000000" w:themeColor="text1"/>
        </w:rPr>
        <w:t>募投项目</w:t>
      </w:r>
      <w:proofErr w:type="gramEnd"/>
      <w:r>
        <w:rPr>
          <w:rFonts w:cs="Times New Roman"/>
          <w:color w:val="000000" w:themeColor="text1"/>
        </w:rPr>
        <w:t>的效益最大化。</w:t>
      </w:r>
    </w:p>
    <w:p w:rsidR="003C3FCD" w:rsidRDefault="00343C0E">
      <w:pPr>
        <w:pStyle w:val="3"/>
        <w:spacing w:before="120" w:after="120" w:line="360" w:lineRule="auto"/>
        <w:ind w:firstLineChars="200" w:firstLine="482"/>
        <w:rPr>
          <w:rFonts w:cs="Times New Roman"/>
          <w:color w:val="000000" w:themeColor="text1"/>
          <w:sz w:val="24"/>
        </w:rPr>
      </w:pPr>
      <w:bookmarkStart w:id="59" w:name="_Toc140187628"/>
      <w:r>
        <w:rPr>
          <w:rFonts w:cs="Times New Roman"/>
          <w:color w:val="000000" w:themeColor="text1"/>
          <w:sz w:val="24"/>
        </w:rPr>
        <w:t>（三）不断完善公司治理，为公司发展提供制度保障</w:t>
      </w:r>
      <w:bookmarkEnd w:id="59"/>
    </w:p>
    <w:p w:rsidR="003C3FCD" w:rsidRDefault="00343C0E">
      <w:pPr>
        <w:autoSpaceDE w:val="0"/>
        <w:autoSpaceDN w:val="0"/>
        <w:adjustRightInd w:val="0"/>
        <w:snapToGrid w:val="0"/>
        <w:spacing w:beforeLines="50" w:before="163" w:afterLines="50" w:after="163" w:line="360" w:lineRule="auto"/>
        <w:ind w:firstLineChars="200" w:firstLine="480"/>
        <w:textAlignment w:val="baseline"/>
        <w:rPr>
          <w:rFonts w:cs="Times New Roman"/>
          <w:color w:val="000000" w:themeColor="text1"/>
        </w:rPr>
      </w:pPr>
      <w:r>
        <w:rPr>
          <w:rFonts w:cs="Times New Roman"/>
          <w:color w:val="000000" w:themeColor="text1"/>
        </w:rPr>
        <w:t>公司将严格遵循《公司法》《证券法》《上市公司治理准则》等法律、法规和规范性文件的要求，不断完善公司治理结构，确保股东能够充分行使权利，确保董事会能够按照法律、法规和公司章程的规定行使职权，</w:t>
      </w:r>
      <w:proofErr w:type="gramStart"/>
      <w:r>
        <w:rPr>
          <w:rFonts w:cs="Times New Roman"/>
          <w:color w:val="000000" w:themeColor="text1"/>
        </w:rPr>
        <w:t>作出</w:t>
      </w:r>
      <w:proofErr w:type="gramEnd"/>
      <w:r>
        <w:rPr>
          <w:rFonts w:cs="Times New Roman"/>
          <w:color w:val="000000" w:themeColor="text1"/>
        </w:rPr>
        <w:t>科学、迅速和谨慎的决策，确保独立董事能够认真履行职责，维护公司整体利益，尤其是中小股东的合法权益，确保监事会能够独立有效地行使对董事、经理和其他高级管理人员及公司财务的监督权和检查权，为公司发展提供制度保障。</w:t>
      </w:r>
      <w:bookmarkStart w:id="60" w:name="_bookmark114"/>
      <w:bookmarkStart w:id="61" w:name="_Toc140187629"/>
      <w:bookmarkEnd w:id="60"/>
    </w:p>
    <w:p w:rsidR="003C3FCD" w:rsidRDefault="00343C0E">
      <w:pPr>
        <w:pStyle w:val="3"/>
        <w:spacing w:before="120" w:after="120" w:line="360" w:lineRule="auto"/>
        <w:ind w:firstLineChars="200" w:firstLine="482"/>
        <w:rPr>
          <w:rFonts w:cs="Times New Roman"/>
          <w:color w:val="000000" w:themeColor="text1"/>
          <w:sz w:val="24"/>
        </w:rPr>
      </w:pPr>
      <w:r>
        <w:rPr>
          <w:rFonts w:cs="Times New Roman"/>
          <w:color w:val="000000" w:themeColor="text1"/>
          <w:sz w:val="24"/>
        </w:rPr>
        <w:t>（四）进一步完善现金分红政策，注重投资者回报及权益保护</w:t>
      </w:r>
      <w:bookmarkEnd w:id="61"/>
    </w:p>
    <w:p w:rsidR="003C3FCD" w:rsidRDefault="00343C0E">
      <w:pPr>
        <w:autoSpaceDE w:val="0"/>
        <w:autoSpaceDN w:val="0"/>
        <w:adjustRightInd w:val="0"/>
        <w:snapToGrid w:val="0"/>
        <w:spacing w:beforeLines="50" w:before="163" w:afterLines="50" w:after="163" w:line="360" w:lineRule="auto"/>
        <w:ind w:firstLineChars="200" w:firstLine="480"/>
        <w:textAlignment w:val="baseline"/>
        <w:rPr>
          <w:rFonts w:cs="Times New Roman"/>
          <w:color w:val="000000" w:themeColor="text1"/>
        </w:rPr>
      </w:pPr>
      <w:r>
        <w:rPr>
          <w:rFonts w:cs="Times New Roman"/>
          <w:color w:val="000000" w:themeColor="text1"/>
        </w:rPr>
        <w:t>根据中国证监会《关于进一步落实上市公司现金分红有关事项的通知》《上市公司监管指引第</w:t>
      </w:r>
      <w:r>
        <w:rPr>
          <w:rFonts w:cs="Times New Roman"/>
          <w:color w:val="000000" w:themeColor="text1"/>
        </w:rPr>
        <w:t>3</w:t>
      </w:r>
      <w:r>
        <w:rPr>
          <w:rFonts w:cs="Times New Roman"/>
          <w:color w:val="000000" w:themeColor="text1"/>
        </w:rPr>
        <w:t>号</w:t>
      </w:r>
      <w:r>
        <w:rPr>
          <w:rFonts w:cs="Times New Roman"/>
          <w:color w:val="000000" w:themeColor="text1"/>
        </w:rPr>
        <w:t>——</w:t>
      </w:r>
      <w:r>
        <w:rPr>
          <w:rFonts w:cs="Times New Roman"/>
          <w:color w:val="000000" w:themeColor="text1"/>
        </w:rPr>
        <w:t>上市公司现金分红》等相关规定，为不断完善公司持续、稳定的利润分配政策、分红决策和监督机制，积极回报投资者，公司结合自身实际情况，制定了《未来三年（</w:t>
      </w:r>
      <w:r>
        <w:rPr>
          <w:rFonts w:cs="Times New Roman"/>
          <w:color w:val="000000" w:themeColor="text1"/>
        </w:rPr>
        <w:t>2023-2025</w:t>
      </w:r>
      <w:r>
        <w:rPr>
          <w:rFonts w:cs="Times New Roman"/>
          <w:color w:val="000000" w:themeColor="text1"/>
        </w:rPr>
        <w:t>年）股东回报规划》。本次发行完成后，公司将切实执行现金分红政策，在符合利润分配条件的情况下，积极落实对股东的利润分配，促进对投资者持续、稳定和科学的回报，切实保障投资者的权益。</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lastRenderedPageBreak/>
        <w:t>同时，公司提请投资者注意，上述填补回报的措施不等于对公司未来利润做出保证或承诺。</w:t>
      </w:r>
      <w:bookmarkStart w:id="62" w:name="_Toc146198238"/>
    </w:p>
    <w:p w:rsidR="003C3FCD" w:rsidRDefault="00343C0E">
      <w:pPr>
        <w:pStyle w:val="2"/>
        <w:spacing w:before="120" w:after="120"/>
        <w:rPr>
          <w:rFonts w:ascii="Times New Roman" w:eastAsia="黑体" w:hAnsi="Times New Roman" w:cs="Times New Roman"/>
          <w:color w:val="000000" w:themeColor="text1"/>
          <w:sz w:val="28"/>
        </w:rPr>
      </w:pPr>
      <w:r>
        <w:rPr>
          <w:rFonts w:ascii="Times New Roman" w:eastAsia="黑体" w:hAnsi="Times New Roman" w:cs="Times New Roman"/>
          <w:color w:val="000000" w:themeColor="text1"/>
          <w:sz w:val="28"/>
        </w:rPr>
        <w:t>六、公司董事、高级管理人员以及公司控股股东对公司填补回报措施能够得到切实履行的承诺</w:t>
      </w:r>
      <w:bookmarkEnd w:id="62"/>
    </w:p>
    <w:p w:rsidR="003C3FCD" w:rsidRDefault="00343C0E">
      <w:pPr>
        <w:pStyle w:val="3"/>
        <w:spacing w:before="120" w:after="120" w:line="360" w:lineRule="auto"/>
        <w:ind w:firstLineChars="200" w:firstLine="482"/>
        <w:rPr>
          <w:rFonts w:cs="Times New Roman"/>
          <w:color w:val="000000" w:themeColor="text1"/>
          <w:sz w:val="24"/>
        </w:rPr>
      </w:pPr>
      <w:bookmarkStart w:id="63" w:name="_Toc140187631"/>
      <w:r>
        <w:rPr>
          <w:rFonts w:cs="Times New Roman"/>
          <w:color w:val="000000" w:themeColor="text1"/>
          <w:sz w:val="24"/>
        </w:rPr>
        <w:t>（一）公司董事、高级管理人员对公司填补回报措施能够得到切实履行的承诺</w:t>
      </w:r>
      <w:bookmarkEnd w:id="63"/>
    </w:p>
    <w:p w:rsidR="003C3FCD" w:rsidRDefault="00343C0E">
      <w:pPr>
        <w:widowControl/>
        <w:autoSpaceDE w:val="0"/>
        <w:autoSpaceDN w:val="0"/>
        <w:adjustRightInd w:val="0"/>
        <w:snapToGrid w:val="0"/>
        <w:spacing w:beforeLines="50" w:before="163" w:afterLines="50" w:after="163" w:line="360" w:lineRule="auto"/>
        <w:ind w:firstLineChars="200" w:firstLine="480"/>
        <w:textAlignment w:val="baseline"/>
        <w:rPr>
          <w:rFonts w:cs="Times New Roman"/>
          <w:color w:val="000000" w:themeColor="text1"/>
        </w:rPr>
      </w:pPr>
      <w:r>
        <w:rPr>
          <w:rFonts w:cs="Times New Roman"/>
          <w:color w:val="000000" w:themeColor="text1"/>
        </w:rPr>
        <w:t>为确保公司本次发行摊薄即期回报事项的填补回报措施能够得到切实履行，维护公司及全体股东的合法权益，公司董事、高级管理人员</w:t>
      </w:r>
      <w:proofErr w:type="gramStart"/>
      <w:r>
        <w:rPr>
          <w:rFonts w:cs="Times New Roman"/>
          <w:color w:val="000000" w:themeColor="text1"/>
        </w:rPr>
        <w:t>作出</w:t>
      </w:r>
      <w:proofErr w:type="gramEnd"/>
      <w:r>
        <w:rPr>
          <w:rFonts w:cs="Times New Roman"/>
          <w:color w:val="000000" w:themeColor="text1"/>
        </w:rPr>
        <w:t>如下承诺：</w:t>
      </w:r>
    </w:p>
    <w:p w:rsidR="003C3FCD" w:rsidRDefault="00343C0E">
      <w:pPr>
        <w:widowControl/>
        <w:autoSpaceDE w:val="0"/>
        <w:autoSpaceDN w:val="0"/>
        <w:adjustRightInd w:val="0"/>
        <w:snapToGrid w:val="0"/>
        <w:spacing w:beforeLines="50" w:before="163" w:afterLines="50" w:after="163" w:line="360" w:lineRule="auto"/>
        <w:ind w:firstLineChars="200" w:firstLine="480"/>
        <w:textAlignment w:val="baseline"/>
        <w:rPr>
          <w:rFonts w:cs="Times New Roman"/>
          <w:color w:val="000000" w:themeColor="text1"/>
        </w:rPr>
      </w:pPr>
      <w:r>
        <w:rPr>
          <w:rFonts w:cs="Times New Roman" w:hint="eastAsia"/>
          <w:color w:val="000000" w:themeColor="text1"/>
        </w:rPr>
        <w:t>“</w:t>
      </w:r>
      <w:r>
        <w:rPr>
          <w:rFonts w:cs="Times New Roman"/>
          <w:color w:val="000000" w:themeColor="text1"/>
        </w:rPr>
        <w:t>1</w:t>
      </w:r>
      <w:r>
        <w:rPr>
          <w:rFonts w:cs="Times New Roman"/>
          <w:color w:val="000000" w:themeColor="text1"/>
        </w:rPr>
        <w:t>、本人承诺忠实、勤勉地履行职责，维护公司和全体股东的合法权益；</w:t>
      </w:r>
    </w:p>
    <w:p w:rsidR="003C3FCD" w:rsidRDefault="00343C0E">
      <w:pPr>
        <w:widowControl/>
        <w:autoSpaceDE w:val="0"/>
        <w:autoSpaceDN w:val="0"/>
        <w:adjustRightInd w:val="0"/>
        <w:snapToGrid w:val="0"/>
        <w:spacing w:beforeLines="50" w:before="163" w:afterLines="50" w:after="163" w:line="360" w:lineRule="auto"/>
        <w:ind w:firstLineChars="200" w:firstLine="480"/>
        <w:textAlignment w:val="baseline"/>
        <w:rPr>
          <w:rFonts w:cs="Times New Roman"/>
          <w:color w:val="000000" w:themeColor="text1"/>
        </w:rPr>
      </w:pPr>
      <w:r>
        <w:rPr>
          <w:rFonts w:cs="Times New Roman"/>
          <w:color w:val="000000" w:themeColor="text1"/>
        </w:rPr>
        <w:t>2</w:t>
      </w:r>
      <w:r>
        <w:rPr>
          <w:rFonts w:cs="Times New Roman"/>
          <w:color w:val="000000" w:themeColor="text1"/>
        </w:rPr>
        <w:t>、本人承诺</w:t>
      </w:r>
      <w:proofErr w:type="gramStart"/>
      <w:r>
        <w:rPr>
          <w:rFonts w:cs="Times New Roman"/>
          <w:color w:val="000000" w:themeColor="text1"/>
        </w:rPr>
        <w:t>不</w:t>
      </w:r>
      <w:proofErr w:type="gramEnd"/>
      <w:r>
        <w:rPr>
          <w:rFonts w:cs="Times New Roman"/>
          <w:color w:val="000000" w:themeColor="text1"/>
        </w:rPr>
        <w:t>无偿或以不公平条件向其他单位或者个人输送利益，也不采用其他方式损害公司利益；</w:t>
      </w:r>
    </w:p>
    <w:p w:rsidR="003C3FCD" w:rsidRDefault="00343C0E">
      <w:pPr>
        <w:widowControl/>
        <w:autoSpaceDE w:val="0"/>
        <w:autoSpaceDN w:val="0"/>
        <w:adjustRightInd w:val="0"/>
        <w:snapToGrid w:val="0"/>
        <w:spacing w:beforeLines="50" w:before="163" w:afterLines="50" w:after="163" w:line="360" w:lineRule="auto"/>
        <w:ind w:firstLineChars="200" w:firstLine="480"/>
        <w:textAlignment w:val="baseline"/>
        <w:rPr>
          <w:rFonts w:cs="Times New Roman"/>
          <w:color w:val="000000" w:themeColor="text1"/>
        </w:rPr>
      </w:pPr>
      <w:r>
        <w:rPr>
          <w:rFonts w:cs="Times New Roman"/>
          <w:color w:val="000000" w:themeColor="text1"/>
        </w:rPr>
        <w:t>3</w:t>
      </w:r>
      <w:r>
        <w:rPr>
          <w:rFonts w:cs="Times New Roman"/>
          <w:color w:val="000000" w:themeColor="text1"/>
        </w:rPr>
        <w:t>、本人承诺对本人的职务消费行为进行约束；</w:t>
      </w:r>
    </w:p>
    <w:p w:rsidR="003C3FCD" w:rsidRDefault="00343C0E">
      <w:pPr>
        <w:widowControl/>
        <w:autoSpaceDE w:val="0"/>
        <w:autoSpaceDN w:val="0"/>
        <w:adjustRightInd w:val="0"/>
        <w:snapToGrid w:val="0"/>
        <w:spacing w:beforeLines="50" w:before="163" w:afterLines="50" w:after="163" w:line="360" w:lineRule="auto"/>
        <w:ind w:firstLineChars="200" w:firstLine="480"/>
        <w:textAlignment w:val="baseline"/>
        <w:rPr>
          <w:rFonts w:cs="Times New Roman"/>
          <w:color w:val="000000" w:themeColor="text1"/>
        </w:rPr>
      </w:pPr>
      <w:r>
        <w:rPr>
          <w:rFonts w:cs="Times New Roman"/>
          <w:color w:val="000000" w:themeColor="text1"/>
        </w:rPr>
        <w:t>4</w:t>
      </w:r>
      <w:r>
        <w:rPr>
          <w:rFonts w:cs="Times New Roman"/>
          <w:color w:val="000000" w:themeColor="text1"/>
        </w:rPr>
        <w:t>、本人承诺不动用公司资产从事与本人履行职责无关的投资、消费活动；</w:t>
      </w:r>
    </w:p>
    <w:p w:rsidR="003C3FCD" w:rsidRDefault="00343C0E">
      <w:pPr>
        <w:widowControl/>
        <w:autoSpaceDE w:val="0"/>
        <w:autoSpaceDN w:val="0"/>
        <w:adjustRightInd w:val="0"/>
        <w:snapToGrid w:val="0"/>
        <w:spacing w:beforeLines="50" w:before="163" w:afterLines="50" w:after="163" w:line="360" w:lineRule="auto"/>
        <w:ind w:firstLineChars="200" w:firstLine="480"/>
        <w:textAlignment w:val="baseline"/>
        <w:rPr>
          <w:rFonts w:cs="Times New Roman"/>
          <w:color w:val="000000" w:themeColor="text1"/>
        </w:rPr>
      </w:pPr>
      <w:r>
        <w:rPr>
          <w:rFonts w:cs="Times New Roman"/>
          <w:color w:val="000000" w:themeColor="text1"/>
        </w:rPr>
        <w:t>5</w:t>
      </w:r>
      <w:r>
        <w:rPr>
          <w:rFonts w:cs="Times New Roman"/>
          <w:color w:val="000000" w:themeColor="text1"/>
        </w:rPr>
        <w:t>、本人同意，由董事会或薪酬与考核委员会制定的薪酬制度与公司填补回报措施的执行情况相挂钩；</w:t>
      </w:r>
    </w:p>
    <w:p w:rsidR="003C3FCD" w:rsidRDefault="00343C0E">
      <w:pPr>
        <w:widowControl/>
        <w:autoSpaceDE w:val="0"/>
        <w:autoSpaceDN w:val="0"/>
        <w:adjustRightInd w:val="0"/>
        <w:snapToGrid w:val="0"/>
        <w:spacing w:beforeLines="50" w:before="163" w:afterLines="50" w:after="163" w:line="360" w:lineRule="auto"/>
        <w:ind w:firstLineChars="200" w:firstLine="480"/>
        <w:textAlignment w:val="baseline"/>
        <w:rPr>
          <w:rFonts w:cs="Times New Roman"/>
          <w:color w:val="000000" w:themeColor="text1"/>
        </w:rPr>
      </w:pPr>
      <w:r>
        <w:rPr>
          <w:rFonts w:cs="Times New Roman"/>
          <w:color w:val="000000" w:themeColor="text1"/>
        </w:rPr>
        <w:t>6</w:t>
      </w:r>
      <w:r>
        <w:rPr>
          <w:rFonts w:cs="Times New Roman"/>
          <w:color w:val="000000" w:themeColor="text1"/>
        </w:rPr>
        <w:t>、本人同意，如公司未来拟对本人实施股权激励，公司股权激励的行权条件与公司填补回报措施的执行情况相挂钩；</w:t>
      </w:r>
    </w:p>
    <w:p w:rsidR="003C3FCD" w:rsidRDefault="00343C0E">
      <w:pPr>
        <w:widowControl/>
        <w:autoSpaceDE w:val="0"/>
        <w:autoSpaceDN w:val="0"/>
        <w:adjustRightInd w:val="0"/>
        <w:snapToGrid w:val="0"/>
        <w:spacing w:beforeLines="50" w:before="163" w:afterLines="50" w:after="163" w:line="360" w:lineRule="auto"/>
        <w:ind w:firstLineChars="200" w:firstLine="480"/>
        <w:textAlignment w:val="baseline"/>
        <w:rPr>
          <w:rFonts w:cs="Times New Roman"/>
          <w:color w:val="000000" w:themeColor="text1"/>
        </w:rPr>
      </w:pPr>
      <w:r>
        <w:rPr>
          <w:rFonts w:cs="Times New Roman"/>
          <w:color w:val="000000" w:themeColor="text1"/>
        </w:rPr>
        <w:t>7</w:t>
      </w:r>
      <w:r>
        <w:rPr>
          <w:rFonts w:cs="Times New Roman"/>
          <w:color w:val="000000" w:themeColor="text1"/>
        </w:rPr>
        <w:t>、本人承诺，在</w:t>
      </w:r>
      <w:proofErr w:type="gramStart"/>
      <w:r>
        <w:rPr>
          <w:rFonts w:cs="Times New Roman"/>
          <w:color w:val="000000" w:themeColor="text1"/>
        </w:rPr>
        <w:t>本承诺</w:t>
      </w:r>
      <w:proofErr w:type="gramEnd"/>
      <w:r>
        <w:rPr>
          <w:rFonts w:cs="Times New Roman"/>
          <w:color w:val="000000" w:themeColor="text1"/>
        </w:rPr>
        <w:t>函出具日后至公司本次发行股票实施完毕前，若中国证监会、深圳证券交易所另行发布摊薄即期填补回报措施及其承诺的相关意见及实施细则，且本人已</w:t>
      </w:r>
      <w:proofErr w:type="gramStart"/>
      <w:r>
        <w:rPr>
          <w:rFonts w:cs="Times New Roman"/>
          <w:color w:val="000000" w:themeColor="text1"/>
        </w:rPr>
        <w:t>作出</w:t>
      </w:r>
      <w:proofErr w:type="gramEnd"/>
      <w:r>
        <w:rPr>
          <w:rFonts w:cs="Times New Roman"/>
          <w:color w:val="000000" w:themeColor="text1"/>
        </w:rPr>
        <w:t>的承诺无法满足证券监管部门该等新规定时，本人承诺届时将按照中国证监会及深圳证券交易所的规定出具补充承诺；</w:t>
      </w:r>
    </w:p>
    <w:p w:rsidR="003C3FCD" w:rsidRDefault="00343C0E">
      <w:pPr>
        <w:widowControl/>
        <w:autoSpaceDE w:val="0"/>
        <w:autoSpaceDN w:val="0"/>
        <w:adjustRightInd w:val="0"/>
        <w:snapToGrid w:val="0"/>
        <w:spacing w:beforeLines="50" w:before="163" w:afterLines="50" w:after="163" w:line="360" w:lineRule="auto"/>
        <w:ind w:firstLineChars="200" w:firstLine="480"/>
        <w:textAlignment w:val="baseline"/>
        <w:rPr>
          <w:rFonts w:cs="Times New Roman"/>
          <w:color w:val="000000" w:themeColor="text1"/>
        </w:rPr>
      </w:pPr>
      <w:r>
        <w:rPr>
          <w:rFonts w:cs="Times New Roman"/>
          <w:color w:val="000000" w:themeColor="text1"/>
        </w:rPr>
        <w:t>8</w:t>
      </w:r>
      <w:r>
        <w:rPr>
          <w:rFonts w:cs="Times New Roman"/>
          <w:color w:val="000000" w:themeColor="text1"/>
        </w:rPr>
        <w:t>、本人承诺切实履行公司制定的有关填补回报措施以及本人对此</w:t>
      </w:r>
      <w:proofErr w:type="gramStart"/>
      <w:r>
        <w:rPr>
          <w:rFonts w:cs="Times New Roman"/>
          <w:color w:val="000000" w:themeColor="text1"/>
        </w:rPr>
        <w:t>作出</w:t>
      </w:r>
      <w:proofErr w:type="gramEnd"/>
      <w:r>
        <w:rPr>
          <w:rFonts w:cs="Times New Roman"/>
          <w:color w:val="000000" w:themeColor="text1"/>
        </w:rPr>
        <w:t>的任何有关填补回报措施的承诺，若本人违反前述承诺或拒不履行前述承诺并给公司或股东造成损失的，本人将依法承担相应的补偿责任。</w:t>
      </w:r>
    </w:p>
    <w:p w:rsidR="003C3FCD" w:rsidRDefault="00343C0E">
      <w:pPr>
        <w:widowControl/>
        <w:autoSpaceDE w:val="0"/>
        <w:autoSpaceDN w:val="0"/>
        <w:adjustRightInd w:val="0"/>
        <w:snapToGrid w:val="0"/>
        <w:spacing w:beforeLines="50" w:before="163" w:afterLines="50" w:after="163" w:line="360" w:lineRule="auto"/>
        <w:ind w:firstLineChars="200" w:firstLine="480"/>
        <w:textAlignment w:val="baseline"/>
        <w:rPr>
          <w:rFonts w:cs="Times New Roman"/>
          <w:color w:val="000000" w:themeColor="text1"/>
        </w:rPr>
      </w:pPr>
      <w:r>
        <w:rPr>
          <w:rFonts w:cs="Times New Roman"/>
          <w:color w:val="000000" w:themeColor="text1"/>
        </w:rPr>
        <w:lastRenderedPageBreak/>
        <w:t>作为填补即期回报措施相关责任主体之一，若违反上述承诺或拒不履行上述承诺，本人同意，中国证监会、深圳证券交易所等证券监管机构按照其制定或发布的有关规定、规则，对本人做出相关处罚或采取相关监管措施。</w:t>
      </w:r>
      <w:r>
        <w:rPr>
          <w:rFonts w:cs="Times New Roman" w:hint="eastAsia"/>
          <w:color w:val="000000" w:themeColor="text1"/>
        </w:rPr>
        <w:t>”</w:t>
      </w:r>
    </w:p>
    <w:p w:rsidR="003C3FCD" w:rsidRDefault="00343C0E">
      <w:pPr>
        <w:pStyle w:val="3"/>
        <w:spacing w:before="120" w:after="120" w:line="360" w:lineRule="auto"/>
        <w:ind w:firstLineChars="200" w:firstLine="482"/>
        <w:rPr>
          <w:rFonts w:cs="Times New Roman"/>
          <w:color w:val="000000" w:themeColor="text1"/>
          <w:sz w:val="24"/>
        </w:rPr>
      </w:pPr>
      <w:bookmarkStart w:id="64" w:name="_Toc140187632"/>
      <w:r>
        <w:rPr>
          <w:rFonts w:cs="Times New Roman"/>
          <w:color w:val="000000" w:themeColor="text1"/>
          <w:sz w:val="24"/>
        </w:rPr>
        <w:t>（二）公司控股股东对公司填补回报措施能够得到切实履行的承诺</w:t>
      </w:r>
      <w:bookmarkEnd w:id="64"/>
    </w:p>
    <w:p w:rsidR="003C3FCD" w:rsidRDefault="00343C0E">
      <w:pPr>
        <w:widowControl/>
        <w:autoSpaceDE w:val="0"/>
        <w:autoSpaceDN w:val="0"/>
        <w:adjustRightInd w:val="0"/>
        <w:snapToGrid w:val="0"/>
        <w:spacing w:beforeLines="50" w:before="163" w:afterLines="50" w:after="163" w:line="360" w:lineRule="auto"/>
        <w:ind w:firstLineChars="200" w:firstLine="480"/>
        <w:textAlignment w:val="baseline"/>
        <w:rPr>
          <w:rFonts w:cs="Times New Roman"/>
          <w:color w:val="000000" w:themeColor="text1"/>
        </w:rPr>
      </w:pPr>
      <w:r>
        <w:rPr>
          <w:rFonts w:cs="Times New Roman"/>
          <w:color w:val="000000" w:themeColor="text1"/>
        </w:rPr>
        <w:t>为确保公司本次发行摊薄即期回报事项的填补回报措施能够得到切实履行，维护公司及全体股东的合法权益，公司控股股东兴津公司</w:t>
      </w:r>
      <w:proofErr w:type="gramStart"/>
      <w:r>
        <w:rPr>
          <w:rFonts w:cs="Times New Roman"/>
          <w:color w:val="000000" w:themeColor="text1"/>
        </w:rPr>
        <w:t>作出</w:t>
      </w:r>
      <w:proofErr w:type="gramEnd"/>
      <w:r>
        <w:rPr>
          <w:rFonts w:cs="Times New Roman"/>
          <w:color w:val="000000" w:themeColor="text1"/>
        </w:rPr>
        <w:t>如下承诺：</w:t>
      </w:r>
    </w:p>
    <w:p w:rsidR="003C3FCD" w:rsidRDefault="00343C0E">
      <w:pPr>
        <w:widowControl/>
        <w:autoSpaceDE w:val="0"/>
        <w:autoSpaceDN w:val="0"/>
        <w:adjustRightInd w:val="0"/>
        <w:snapToGrid w:val="0"/>
        <w:spacing w:beforeLines="50" w:before="163" w:afterLines="50" w:after="163" w:line="360" w:lineRule="auto"/>
        <w:ind w:firstLineChars="200" w:firstLine="480"/>
        <w:textAlignment w:val="baseline"/>
        <w:rPr>
          <w:rFonts w:cs="Times New Roman"/>
          <w:color w:val="000000" w:themeColor="text1"/>
        </w:rPr>
      </w:pPr>
      <w:r>
        <w:rPr>
          <w:rFonts w:cs="Times New Roman" w:hint="eastAsia"/>
          <w:color w:val="000000" w:themeColor="text1"/>
        </w:rPr>
        <w:t>“</w:t>
      </w:r>
      <w:r>
        <w:rPr>
          <w:rFonts w:cs="Times New Roman"/>
          <w:color w:val="000000" w:themeColor="text1"/>
        </w:rPr>
        <w:t>1</w:t>
      </w:r>
      <w:r>
        <w:rPr>
          <w:rFonts w:cs="Times New Roman"/>
          <w:color w:val="000000" w:themeColor="text1"/>
        </w:rPr>
        <w:t>、本公司承诺，将严格遵守法律法规及中国证监会、深圳证券交易所的有关监管规则，不会越权干预公司经营管理活动，不侵占公司利益，前述承诺是无条件且不可撤销的；</w:t>
      </w:r>
    </w:p>
    <w:p w:rsidR="003C3FCD" w:rsidRDefault="00343C0E">
      <w:pPr>
        <w:widowControl/>
        <w:autoSpaceDE w:val="0"/>
        <w:autoSpaceDN w:val="0"/>
        <w:adjustRightInd w:val="0"/>
        <w:snapToGrid w:val="0"/>
        <w:spacing w:beforeLines="50" w:before="163" w:afterLines="50" w:after="163" w:line="360" w:lineRule="auto"/>
        <w:ind w:firstLineChars="200" w:firstLine="480"/>
        <w:textAlignment w:val="baseline"/>
        <w:rPr>
          <w:rFonts w:cs="Times New Roman"/>
          <w:color w:val="000000" w:themeColor="text1"/>
        </w:rPr>
      </w:pPr>
      <w:r>
        <w:rPr>
          <w:rFonts w:cs="Times New Roman"/>
          <w:color w:val="000000" w:themeColor="text1"/>
        </w:rPr>
        <w:t>2</w:t>
      </w:r>
      <w:r>
        <w:rPr>
          <w:rFonts w:cs="Times New Roman"/>
          <w:color w:val="000000" w:themeColor="text1"/>
        </w:rPr>
        <w:t>、本公司承诺，在</w:t>
      </w:r>
      <w:proofErr w:type="gramStart"/>
      <w:r>
        <w:rPr>
          <w:rFonts w:cs="Times New Roman"/>
          <w:color w:val="000000" w:themeColor="text1"/>
        </w:rPr>
        <w:t>本承诺</w:t>
      </w:r>
      <w:proofErr w:type="gramEnd"/>
      <w:r>
        <w:rPr>
          <w:rFonts w:cs="Times New Roman"/>
          <w:color w:val="000000" w:themeColor="text1"/>
        </w:rPr>
        <w:t>函出具日后至公司本次发行股票实施完毕前，若中国证监会、深圳证券交易所另行发布摊薄即期填补回报措施及其承诺的相关意见及实施细则，且本公司已</w:t>
      </w:r>
      <w:proofErr w:type="gramStart"/>
      <w:r>
        <w:rPr>
          <w:rFonts w:cs="Times New Roman"/>
          <w:color w:val="000000" w:themeColor="text1"/>
        </w:rPr>
        <w:t>作出</w:t>
      </w:r>
      <w:proofErr w:type="gramEnd"/>
      <w:r>
        <w:rPr>
          <w:rFonts w:cs="Times New Roman"/>
          <w:color w:val="000000" w:themeColor="text1"/>
        </w:rPr>
        <w:t>的承诺无法满足证券监管部门该等新规定时，本公司承诺届时将按照中国证监会及深圳证券交易所的规定出具补充承诺；</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3</w:t>
      </w:r>
      <w:r>
        <w:rPr>
          <w:rFonts w:cs="Times New Roman"/>
          <w:color w:val="000000" w:themeColor="text1"/>
        </w:rPr>
        <w:t>、本公司承诺切实履行公司制定的有关填补回报措施以及本公司对此</w:t>
      </w:r>
      <w:proofErr w:type="gramStart"/>
      <w:r>
        <w:rPr>
          <w:rFonts w:cs="Times New Roman"/>
          <w:color w:val="000000" w:themeColor="text1"/>
        </w:rPr>
        <w:t>作出</w:t>
      </w:r>
      <w:proofErr w:type="gramEnd"/>
      <w:r>
        <w:rPr>
          <w:rFonts w:cs="Times New Roman"/>
          <w:color w:val="000000" w:themeColor="text1"/>
        </w:rPr>
        <w:t>的任何有关填补回报措施的承诺，若本公司违反前述承诺或拒不履行前述承诺并给公司或股东造成损失的，本公司将依法承担相应的补偿责任。</w:t>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作为填补即期回报措施相关责任主体之一，若违反上述承诺或拒不履行上述承诺，本单位同意，中国证监会、深圳证券交易所等证券监管机构按照其制定或发布的有关规定、规则，对本单位做出相关处罚或采取相关监管措施。</w:t>
      </w:r>
      <w:r>
        <w:rPr>
          <w:rFonts w:cs="Times New Roman" w:hint="eastAsia"/>
          <w:color w:val="000000" w:themeColor="text1"/>
        </w:rPr>
        <w:t>”</w:t>
      </w:r>
    </w:p>
    <w:p w:rsidR="003C3FCD" w:rsidRDefault="00343C0E">
      <w:pPr>
        <w:pStyle w:val="2"/>
        <w:spacing w:before="120" w:after="120" w:line="360" w:lineRule="auto"/>
        <w:rPr>
          <w:rFonts w:ascii="Times New Roman" w:eastAsia="黑体" w:hAnsi="Times New Roman" w:cs="Times New Roman"/>
          <w:color w:val="000000" w:themeColor="text1"/>
          <w:sz w:val="28"/>
        </w:rPr>
      </w:pPr>
      <w:bookmarkStart w:id="65" w:name="_Toc146198239"/>
      <w:bookmarkStart w:id="66" w:name="_Toc140187633"/>
      <w:r>
        <w:rPr>
          <w:rFonts w:ascii="Times New Roman" w:eastAsia="黑体" w:hAnsi="Times New Roman" w:cs="Times New Roman"/>
          <w:color w:val="000000" w:themeColor="text1"/>
          <w:sz w:val="28"/>
        </w:rPr>
        <w:t>七、关于本次发行摊薄即期回报的填补措施及承诺事项的审议程序</w:t>
      </w:r>
      <w:bookmarkEnd w:id="65"/>
      <w:bookmarkEnd w:id="66"/>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t>公司将在定期报告中持续披露填补即期回报措施的完成情况及相关承诺主体承诺事项的履行情况。</w:t>
      </w:r>
    </w:p>
    <w:p w:rsidR="003C3FCD" w:rsidRDefault="003C3FCD">
      <w:pPr>
        <w:widowControl/>
        <w:jc w:val="left"/>
        <w:rPr>
          <w:rFonts w:cs="Times New Roman"/>
          <w:color w:val="000000" w:themeColor="text1"/>
        </w:rPr>
      </w:pPr>
    </w:p>
    <w:p w:rsidR="003C3FCD" w:rsidRDefault="00343C0E" w:rsidP="00EA669B">
      <w:pPr>
        <w:rPr>
          <w:rFonts w:cs="Times New Roman"/>
          <w:color w:val="000000" w:themeColor="text1"/>
        </w:rPr>
      </w:pPr>
      <w:r>
        <w:rPr>
          <w:rFonts w:cs="Times New Roman"/>
          <w:color w:val="000000" w:themeColor="text1"/>
        </w:rPr>
        <w:br w:type="page"/>
      </w:r>
    </w:p>
    <w:p w:rsidR="003C3FCD" w:rsidRDefault="00343C0E">
      <w:pPr>
        <w:spacing w:beforeLines="50" w:before="163" w:afterLines="50" w:after="163" w:line="360" w:lineRule="auto"/>
        <w:ind w:firstLineChars="200" w:firstLine="480"/>
        <w:rPr>
          <w:rFonts w:cs="Times New Roman"/>
          <w:color w:val="000000" w:themeColor="text1"/>
        </w:rPr>
      </w:pPr>
      <w:r>
        <w:rPr>
          <w:rFonts w:cs="Times New Roman"/>
          <w:color w:val="000000" w:themeColor="text1"/>
        </w:rPr>
        <w:lastRenderedPageBreak/>
        <w:t>（本页无正文，为《渤海水业股份有限公司</w:t>
      </w:r>
      <w:r>
        <w:rPr>
          <w:rFonts w:cs="Times New Roman" w:hint="eastAsia"/>
          <w:color w:val="000000" w:themeColor="text1"/>
        </w:rPr>
        <w:t>关于公司</w:t>
      </w:r>
      <w:r>
        <w:rPr>
          <w:rFonts w:cs="Times New Roman"/>
          <w:color w:val="000000" w:themeColor="text1"/>
        </w:rPr>
        <w:t>2024</w:t>
      </w:r>
      <w:r>
        <w:rPr>
          <w:rFonts w:cs="Times New Roman"/>
          <w:color w:val="000000" w:themeColor="text1"/>
        </w:rPr>
        <w:t>年度以简易程序向特定对象发行股票预案》之盖章页）</w:t>
      </w:r>
    </w:p>
    <w:p w:rsidR="003C3FCD" w:rsidRDefault="003C3FCD">
      <w:pPr>
        <w:spacing w:beforeLines="50" w:before="163" w:afterLines="50" w:after="163" w:line="360" w:lineRule="auto"/>
        <w:rPr>
          <w:rFonts w:cs="Times New Roman"/>
          <w:color w:val="000000" w:themeColor="text1"/>
        </w:rPr>
      </w:pPr>
    </w:p>
    <w:p w:rsidR="003C3FCD" w:rsidRDefault="003C3FCD">
      <w:pPr>
        <w:spacing w:beforeLines="50" w:before="163" w:afterLines="50" w:after="163" w:line="360" w:lineRule="auto"/>
        <w:rPr>
          <w:rFonts w:cs="Times New Roman"/>
          <w:color w:val="000000" w:themeColor="text1"/>
        </w:rPr>
      </w:pPr>
    </w:p>
    <w:p w:rsidR="003C3FCD" w:rsidRDefault="003C3FCD">
      <w:pPr>
        <w:spacing w:beforeLines="50" w:before="163" w:afterLines="50" w:after="163" w:line="360" w:lineRule="auto"/>
        <w:rPr>
          <w:rFonts w:cs="Times New Roman"/>
          <w:color w:val="000000" w:themeColor="text1"/>
        </w:rPr>
      </w:pPr>
    </w:p>
    <w:p w:rsidR="003C3FCD" w:rsidRDefault="003C3FCD">
      <w:pPr>
        <w:spacing w:beforeLines="50" w:before="163" w:afterLines="50" w:after="163" w:line="360" w:lineRule="auto"/>
        <w:rPr>
          <w:rFonts w:cs="Times New Roman"/>
          <w:color w:val="000000" w:themeColor="text1"/>
        </w:rPr>
      </w:pPr>
    </w:p>
    <w:p w:rsidR="003C3FCD" w:rsidRDefault="003C3FCD">
      <w:pPr>
        <w:spacing w:beforeLines="50" w:before="163" w:afterLines="50" w:after="163" w:line="360" w:lineRule="auto"/>
        <w:rPr>
          <w:rFonts w:cs="Times New Roman"/>
          <w:color w:val="000000" w:themeColor="text1"/>
        </w:rPr>
      </w:pPr>
    </w:p>
    <w:p w:rsidR="003C3FCD" w:rsidRDefault="00343C0E">
      <w:pPr>
        <w:spacing w:beforeLines="50" w:before="163" w:afterLines="50" w:after="163" w:line="360" w:lineRule="auto"/>
        <w:jc w:val="right"/>
        <w:rPr>
          <w:rFonts w:cs="Times New Roman"/>
          <w:color w:val="000000" w:themeColor="text1"/>
        </w:rPr>
      </w:pPr>
      <w:r>
        <w:rPr>
          <w:rFonts w:cs="Times New Roman"/>
          <w:color w:val="000000" w:themeColor="text1"/>
        </w:rPr>
        <w:t>渤海水业股份有限公司</w:t>
      </w:r>
    </w:p>
    <w:p w:rsidR="003C3FCD" w:rsidRDefault="00343C0E">
      <w:pPr>
        <w:wordWrap w:val="0"/>
        <w:spacing w:beforeLines="50" w:before="163" w:afterLines="50" w:after="163" w:line="360" w:lineRule="auto"/>
        <w:jc w:val="right"/>
        <w:rPr>
          <w:rFonts w:cs="Times New Roman"/>
          <w:color w:val="000000" w:themeColor="text1"/>
        </w:rPr>
      </w:pPr>
      <w:r>
        <w:rPr>
          <w:rFonts w:cs="Times New Roman"/>
          <w:color w:val="000000" w:themeColor="text1"/>
        </w:rPr>
        <w:t>董事会</w:t>
      </w:r>
      <w:r>
        <w:rPr>
          <w:rFonts w:cs="Times New Roman"/>
          <w:color w:val="000000" w:themeColor="text1"/>
        </w:rPr>
        <w:t xml:space="preserve">      </w:t>
      </w:r>
    </w:p>
    <w:p w:rsidR="003C3FCD" w:rsidRDefault="00343C0E">
      <w:pPr>
        <w:wordWrap w:val="0"/>
        <w:spacing w:beforeLines="50" w:before="163" w:afterLines="50" w:after="163" w:line="360" w:lineRule="auto"/>
        <w:jc w:val="right"/>
        <w:rPr>
          <w:rFonts w:cs="Times New Roman"/>
          <w:color w:val="000000" w:themeColor="text1"/>
        </w:rPr>
      </w:pPr>
      <w:r>
        <w:rPr>
          <w:rFonts w:cs="Times New Roman"/>
          <w:color w:val="000000" w:themeColor="text1"/>
        </w:rPr>
        <w:t>2024</w:t>
      </w:r>
      <w:r>
        <w:rPr>
          <w:rFonts w:cs="Times New Roman"/>
          <w:color w:val="000000" w:themeColor="text1"/>
        </w:rPr>
        <w:t>年</w:t>
      </w:r>
      <w:r>
        <w:rPr>
          <w:rFonts w:cs="Times New Roman"/>
          <w:color w:val="000000" w:themeColor="text1"/>
        </w:rPr>
        <w:t>1</w:t>
      </w:r>
      <w:r>
        <w:rPr>
          <w:rFonts w:cs="Times New Roman"/>
          <w:color w:val="000000" w:themeColor="text1"/>
        </w:rPr>
        <w:t>月</w:t>
      </w:r>
      <w:r>
        <w:rPr>
          <w:rFonts w:cs="Times New Roman"/>
          <w:color w:val="000000" w:themeColor="text1"/>
        </w:rPr>
        <w:t>12</w:t>
      </w:r>
      <w:r>
        <w:rPr>
          <w:rFonts w:cs="Times New Roman"/>
          <w:color w:val="000000" w:themeColor="text1"/>
        </w:rPr>
        <w:t>日</w:t>
      </w:r>
      <w:r>
        <w:rPr>
          <w:rFonts w:cs="Times New Roman"/>
          <w:color w:val="000000" w:themeColor="text1"/>
        </w:rPr>
        <w:t xml:space="preserve"> </w:t>
      </w:r>
    </w:p>
    <w:p w:rsidR="003C3FCD" w:rsidRDefault="003C3FCD">
      <w:pPr>
        <w:spacing w:beforeLines="50" w:before="163" w:afterLines="50" w:after="163" w:line="360" w:lineRule="auto"/>
        <w:rPr>
          <w:rFonts w:cs="Times New Roman"/>
          <w:color w:val="000000" w:themeColor="text1"/>
        </w:rPr>
      </w:pPr>
    </w:p>
    <w:sectPr w:rsidR="003C3FCD">
      <w:footerReference w:type="default" r:id="rId7"/>
      <w:pgSz w:w="11906" w:h="16838"/>
      <w:pgMar w:top="1440" w:right="1800" w:bottom="1440" w:left="1800" w:header="851" w:footer="992" w:gutter="0"/>
      <w:pgNumType w:start="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11B" w:rsidRDefault="0054411B">
      <w:r>
        <w:separator/>
      </w:r>
    </w:p>
  </w:endnote>
  <w:endnote w:type="continuationSeparator" w:id="0">
    <w:p w:rsidR="0054411B" w:rsidRDefault="00544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02060"/>
    </w:sdtPr>
    <w:sdtEndPr>
      <w:rPr>
        <w:lang w:val="zh-CN"/>
      </w:rPr>
    </w:sdtEndPr>
    <w:sdtContent>
      <w:p w:rsidR="003C3FCD" w:rsidRDefault="00343C0E">
        <w:pPr>
          <w:pStyle w:val="a7"/>
          <w:jc w:val="center"/>
          <w:rPr>
            <w:lang w:val="zh-CN"/>
          </w:rPr>
        </w:pPr>
        <w:r>
          <w:rPr>
            <w:lang w:val="zh-CN"/>
          </w:rPr>
          <w:fldChar w:fldCharType="begin"/>
        </w:r>
        <w:r>
          <w:rPr>
            <w:lang w:val="zh-CN"/>
          </w:rPr>
          <w:instrText>PAGE   \* MERGEFORMAT</w:instrText>
        </w:r>
        <w:r>
          <w:rPr>
            <w:lang w:val="zh-CN"/>
          </w:rPr>
          <w:fldChar w:fldCharType="separate"/>
        </w:r>
        <w:r w:rsidR="00E95D25">
          <w:rPr>
            <w:noProof/>
            <w:lang w:val="zh-CN"/>
          </w:rPr>
          <w:t>38</w:t>
        </w:r>
        <w:r>
          <w:rPr>
            <w:lang w:val="zh-CN"/>
          </w:rPr>
          <w:fldChar w:fldCharType="end"/>
        </w:r>
      </w:p>
    </w:sdtContent>
  </w:sdt>
  <w:p w:rsidR="003C3FCD" w:rsidRDefault="003C3F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11B" w:rsidRDefault="0054411B">
      <w:r>
        <w:separator/>
      </w:r>
    </w:p>
  </w:footnote>
  <w:footnote w:type="continuationSeparator" w:id="0">
    <w:p w:rsidR="0054411B" w:rsidRDefault="005441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HorizontalSpacing w:val="120"/>
  <w:drawingGridVerticalSpacing w:val="163"/>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jQzNzExsjQ2NjU3MDFX0lEKTi0uzszPAykwqgUAfhS5EywAAAA="/>
    <w:docVar w:name="commondata" w:val="eyJoZGlkIjoiMDVlYzU3ZWZhMDI4NWNkYTMyNzkxOTM5NjcwNzJiNWYifQ=="/>
  </w:docVars>
  <w:rsids>
    <w:rsidRoot w:val="006D38D7"/>
    <w:rsid w:val="9FF7BC13"/>
    <w:rsid w:val="BEEEC996"/>
    <w:rsid w:val="00000693"/>
    <w:rsid w:val="00021FB7"/>
    <w:rsid w:val="0003415F"/>
    <w:rsid w:val="0005142A"/>
    <w:rsid w:val="00060F13"/>
    <w:rsid w:val="00091A42"/>
    <w:rsid w:val="00097FDC"/>
    <w:rsid w:val="000C0817"/>
    <w:rsid w:val="000C5F98"/>
    <w:rsid w:val="000C73C0"/>
    <w:rsid w:val="000E23B3"/>
    <w:rsid w:val="000E4D93"/>
    <w:rsid w:val="000F17E2"/>
    <w:rsid w:val="000F3E4D"/>
    <w:rsid w:val="0010135C"/>
    <w:rsid w:val="0013389D"/>
    <w:rsid w:val="001501A6"/>
    <w:rsid w:val="001751BE"/>
    <w:rsid w:val="001973DF"/>
    <w:rsid w:val="001E2C61"/>
    <w:rsid w:val="001F0839"/>
    <w:rsid w:val="001F0FB1"/>
    <w:rsid w:val="00206175"/>
    <w:rsid w:val="0022522F"/>
    <w:rsid w:val="002367A6"/>
    <w:rsid w:val="00244F8D"/>
    <w:rsid w:val="00254674"/>
    <w:rsid w:val="00283531"/>
    <w:rsid w:val="00296949"/>
    <w:rsid w:val="002B47BD"/>
    <w:rsid w:val="002E21DB"/>
    <w:rsid w:val="002E2BA3"/>
    <w:rsid w:val="00300E28"/>
    <w:rsid w:val="00327DC0"/>
    <w:rsid w:val="00333593"/>
    <w:rsid w:val="00342798"/>
    <w:rsid w:val="00343C0E"/>
    <w:rsid w:val="0036325B"/>
    <w:rsid w:val="003A0121"/>
    <w:rsid w:val="003A5A85"/>
    <w:rsid w:val="003B034A"/>
    <w:rsid w:val="003B0776"/>
    <w:rsid w:val="003B0BE9"/>
    <w:rsid w:val="003C1A68"/>
    <w:rsid w:val="003C3FCD"/>
    <w:rsid w:val="0042017D"/>
    <w:rsid w:val="00425F35"/>
    <w:rsid w:val="00461A1C"/>
    <w:rsid w:val="00466849"/>
    <w:rsid w:val="00493B56"/>
    <w:rsid w:val="005035F5"/>
    <w:rsid w:val="005213C1"/>
    <w:rsid w:val="0054411B"/>
    <w:rsid w:val="005460B6"/>
    <w:rsid w:val="00562459"/>
    <w:rsid w:val="00564651"/>
    <w:rsid w:val="00582316"/>
    <w:rsid w:val="005C3A54"/>
    <w:rsid w:val="005C5FC3"/>
    <w:rsid w:val="00613FAC"/>
    <w:rsid w:val="006565AD"/>
    <w:rsid w:val="006640A1"/>
    <w:rsid w:val="00665437"/>
    <w:rsid w:val="006C5B8D"/>
    <w:rsid w:val="006D38D7"/>
    <w:rsid w:val="006D5CA6"/>
    <w:rsid w:val="006F0D83"/>
    <w:rsid w:val="00707F06"/>
    <w:rsid w:val="00717E3C"/>
    <w:rsid w:val="0076580B"/>
    <w:rsid w:val="00776CA9"/>
    <w:rsid w:val="00785006"/>
    <w:rsid w:val="00785895"/>
    <w:rsid w:val="007B4893"/>
    <w:rsid w:val="007C2BE5"/>
    <w:rsid w:val="007C76BF"/>
    <w:rsid w:val="007D6237"/>
    <w:rsid w:val="007D6365"/>
    <w:rsid w:val="007E2B4E"/>
    <w:rsid w:val="007F78A9"/>
    <w:rsid w:val="0080103C"/>
    <w:rsid w:val="00837BA3"/>
    <w:rsid w:val="008501C3"/>
    <w:rsid w:val="008549D8"/>
    <w:rsid w:val="008559E9"/>
    <w:rsid w:val="00856FEB"/>
    <w:rsid w:val="00867C75"/>
    <w:rsid w:val="00871C14"/>
    <w:rsid w:val="008E3863"/>
    <w:rsid w:val="009304DA"/>
    <w:rsid w:val="0093527E"/>
    <w:rsid w:val="00944133"/>
    <w:rsid w:val="00957923"/>
    <w:rsid w:val="00981AAC"/>
    <w:rsid w:val="00987176"/>
    <w:rsid w:val="009A0389"/>
    <w:rsid w:val="009B6041"/>
    <w:rsid w:val="009C4682"/>
    <w:rsid w:val="009D6D13"/>
    <w:rsid w:val="009E250D"/>
    <w:rsid w:val="009F4601"/>
    <w:rsid w:val="00A22A86"/>
    <w:rsid w:val="00A24D0D"/>
    <w:rsid w:val="00A44366"/>
    <w:rsid w:val="00A47A6D"/>
    <w:rsid w:val="00A675C1"/>
    <w:rsid w:val="00A709F4"/>
    <w:rsid w:val="00A757A0"/>
    <w:rsid w:val="00A94A36"/>
    <w:rsid w:val="00AA48F1"/>
    <w:rsid w:val="00AA749B"/>
    <w:rsid w:val="00AB36FB"/>
    <w:rsid w:val="00AC450E"/>
    <w:rsid w:val="00AC63BE"/>
    <w:rsid w:val="00AD58C8"/>
    <w:rsid w:val="00AF0D2C"/>
    <w:rsid w:val="00AF7F63"/>
    <w:rsid w:val="00B047EC"/>
    <w:rsid w:val="00B23439"/>
    <w:rsid w:val="00B3326D"/>
    <w:rsid w:val="00B54911"/>
    <w:rsid w:val="00B54E66"/>
    <w:rsid w:val="00B63E22"/>
    <w:rsid w:val="00B74DA6"/>
    <w:rsid w:val="00B93E89"/>
    <w:rsid w:val="00BA4191"/>
    <w:rsid w:val="00BE5D4E"/>
    <w:rsid w:val="00BF302C"/>
    <w:rsid w:val="00C271B1"/>
    <w:rsid w:val="00C3123F"/>
    <w:rsid w:val="00C510CE"/>
    <w:rsid w:val="00C53DF8"/>
    <w:rsid w:val="00C5790E"/>
    <w:rsid w:val="00C673CB"/>
    <w:rsid w:val="00C879B3"/>
    <w:rsid w:val="00CA1337"/>
    <w:rsid w:val="00CD4B3C"/>
    <w:rsid w:val="00CF1325"/>
    <w:rsid w:val="00CF284A"/>
    <w:rsid w:val="00D160F5"/>
    <w:rsid w:val="00D3389C"/>
    <w:rsid w:val="00D34102"/>
    <w:rsid w:val="00D37551"/>
    <w:rsid w:val="00D54FFB"/>
    <w:rsid w:val="00D750F8"/>
    <w:rsid w:val="00D96A1E"/>
    <w:rsid w:val="00DE1848"/>
    <w:rsid w:val="00E114AC"/>
    <w:rsid w:val="00E1285D"/>
    <w:rsid w:val="00E7569A"/>
    <w:rsid w:val="00E950DE"/>
    <w:rsid w:val="00E95D25"/>
    <w:rsid w:val="00EA669B"/>
    <w:rsid w:val="00EB0041"/>
    <w:rsid w:val="00EB1D20"/>
    <w:rsid w:val="00EE06A0"/>
    <w:rsid w:val="00F427F1"/>
    <w:rsid w:val="00F61E4C"/>
    <w:rsid w:val="00F713DC"/>
    <w:rsid w:val="00FA326B"/>
    <w:rsid w:val="00FA72E3"/>
    <w:rsid w:val="00FB3D46"/>
    <w:rsid w:val="00FB58FC"/>
    <w:rsid w:val="00FB5DE2"/>
    <w:rsid w:val="00FD5B3C"/>
    <w:rsid w:val="00FE390E"/>
    <w:rsid w:val="04CF2E12"/>
    <w:rsid w:val="05EA4B8A"/>
    <w:rsid w:val="07B42DD2"/>
    <w:rsid w:val="08EE52A8"/>
    <w:rsid w:val="096B2D0D"/>
    <w:rsid w:val="0A4407E2"/>
    <w:rsid w:val="0A9B74B2"/>
    <w:rsid w:val="0AAB29AE"/>
    <w:rsid w:val="0C556EAE"/>
    <w:rsid w:val="0C6D153E"/>
    <w:rsid w:val="0DAF2EBF"/>
    <w:rsid w:val="12FF4E9B"/>
    <w:rsid w:val="13C466EF"/>
    <w:rsid w:val="14507FC5"/>
    <w:rsid w:val="1620507D"/>
    <w:rsid w:val="162416FD"/>
    <w:rsid w:val="175D4555"/>
    <w:rsid w:val="17D87AE6"/>
    <w:rsid w:val="182859FC"/>
    <w:rsid w:val="18A46014"/>
    <w:rsid w:val="18CE204E"/>
    <w:rsid w:val="19461C80"/>
    <w:rsid w:val="1A974E89"/>
    <w:rsid w:val="1F422EEA"/>
    <w:rsid w:val="20921B83"/>
    <w:rsid w:val="2156609B"/>
    <w:rsid w:val="22923D14"/>
    <w:rsid w:val="23B23A9A"/>
    <w:rsid w:val="23E97DD8"/>
    <w:rsid w:val="253E452E"/>
    <w:rsid w:val="25602752"/>
    <w:rsid w:val="26CD22DE"/>
    <w:rsid w:val="26EF3994"/>
    <w:rsid w:val="295977AD"/>
    <w:rsid w:val="2AF64EEE"/>
    <w:rsid w:val="2B51163E"/>
    <w:rsid w:val="2BC73B74"/>
    <w:rsid w:val="2EDB297D"/>
    <w:rsid w:val="2FBE790D"/>
    <w:rsid w:val="2FD63906"/>
    <w:rsid w:val="301D2081"/>
    <w:rsid w:val="32AE31AE"/>
    <w:rsid w:val="32B50624"/>
    <w:rsid w:val="361749DC"/>
    <w:rsid w:val="369B6F51"/>
    <w:rsid w:val="380D00E1"/>
    <w:rsid w:val="3816743F"/>
    <w:rsid w:val="38A613AC"/>
    <w:rsid w:val="3C5B3B1A"/>
    <w:rsid w:val="3CB72D11"/>
    <w:rsid w:val="3D735452"/>
    <w:rsid w:val="3E9F350C"/>
    <w:rsid w:val="3F7FF335"/>
    <w:rsid w:val="41B60AB3"/>
    <w:rsid w:val="42BE0E9C"/>
    <w:rsid w:val="44E14878"/>
    <w:rsid w:val="47B02837"/>
    <w:rsid w:val="48137DAC"/>
    <w:rsid w:val="48F30D3D"/>
    <w:rsid w:val="4D112705"/>
    <w:rsid w:val="4D3D2DBF"/>
    <w:rsid w:val="4FAE245E"/>
    <w:rsid w:val="5067042A"/>
    <w:rsid w:val="52341E0F"/>
    <w:rsid w:val="537506AF"/>
    <w:rsid w:val="54D50C36"/>
    <w:rsid w:val="55D5085E"/>
    <w:rsid w:val="56744B3D"/>
    <w:rsid w:val="5706614B"/>
    <w:rsid w:val="589B1F88"/>
    <w:rsid w:val="5AFF7A87"/>
    <w:rsid w:val="5BE5764E"/>
    <w:rsid w:val="5C944BFC"/>
    <w:rsid w:val="5D810AA5"/>
    <w:rsid w:val="5E4A692D"/>
    <w:rsid w:val="5FD01B27"/>
    <w:rsid w:val="60A72CBA"/>
    <w:rsid w:val="60B116A2"/>
    <w:rsid w:val="6363FAF9"/>
    <w:rsid w:val="64D92F75"/>
    <w:rsid w:val="66120C39"/>
    <w:rsid w:val="66AF0431"/>
    <w:rsid w:val="68C63810"/>
    <w:rsid w:val="694F0BEE"/>
    <w:rsid w:val="6C8B6023"/>
    <w:rsid w:val="6CED3E70"/>
    <w:rsid w:val="710D4B86"/>
    <w:rsid w:val="71D72CC6"/>
    <w:rsid w:val="7322667A"/>
    <w:rsid w:val="73DC6CE3"/>
    <w:rsid w:val="75A4312B"/>
    <w:rsid w:val="795870CE"/>
    <w:rsid w:val="7AE2313F"/>
    <w:rsid w:val="7BA506E4"/>
    <w:rsid w:val="7CC94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533FC4-185D-4997-BA84-1B9A09890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rFonts w:cstheme="minorBidi"/>
      <w:kern w:val="2"/>
      <w:sz w:val="24"/>
      <w:szCs w:val="22"/>
    </w:rPr>
  </w:style>
  <w:style w:type="paragraph" w:styleId="1">
    <w:name w:val="heading 1"/>
    <w:basedOn w:val="a"/>
    <w:next w:val="a"/>
    <w:link w:val="1Char"/>
    <w:autoRedefine/>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autoRedefine/>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autoRedefine/>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autoRedefine/>
    <w:uiPriority w:val="99"/>
    <w:semiHidden/>
    <w:unhideWhenUsed/>
    <w:qFormat/>
    <w:pPr>
      <w:ind w:firstLineChars="200" w:firstLine="420"/>
    </w:pPr>
  </w:style>
  <w:style w:type="paragraph" w:styleId="a4">
    <w:name w:val="annotation text"/>
    <w:basedOn w:val="a"/>
    <w:link w:val="Char"/>
    <w:autoRedefine/>
    <w:qFormat/>
    <w:pPr>
      <w:widowControl/>
      <w:kinsoku w:val="0"/>
      <w:autoSpaceDE w:val="0"/>
      <w:autoSpaceDN w:val="0"/>
      <w:adjustRightInd w:val="0"/>
      <w:snapToGrid w:val="0"/>
      <w:jc w:val="left"/>
      <w:textAlignment w:val="baseline"/>
    </w:pPr>
    <w:rPr>
      <w:rFonts w:ascii="Arial" w:eastAsia="Arial" w:hAnsi="Arial" w:cs="Arial"/>
      <w:snapToGrid w:val="0"/>
      <w:color w:val="000000"/>
      <w:kern w:val="0"/>
      <w:sz w:val="21"/>
      <w:szCs w:val="21"/>
      <w:lang w:eastAsia="en-US"/>
    </w:rPr>
  </w:style>
  <w:style w:type="paragraph" w:styleId="a5">
    <w:name w:val="Body Text"/>
    <w:basedOn w:val="a"/>
    <w:autoRedefine/>
    <w:semiHidden/>
    <w:qFormat/>
    <w:rPr>
      <w:rFonts w:ascii="宋体" w:hAnsi="宋体" w:cs="宋体"/>
      <w:szCs w:val="24"/>
      <w:lang w:eastAsia="en-US"/>
    </w:rPr>
  </w:style>
  <w:style w:type="paragraph" w:styleId="30">
    <w:name w:val="toc 3"/>
    <w:basedOn w:val="a"/>
    <w:next w:val="a"/>
    <w:autoRedefine/>
    <w:uiPriority w:val="39"/>
    <w:unhideWhenUsed/>
    <w:qFormat/>
    <w:pPr>
      <w:ind w:leftChars="400" w:left="840"/>
    </w:pPr>
  </w:style>
  <w:style w:type="paragraph" w:styleId="a6">
    <w:name w:val="Balloon Text"/>
    <w:basedOn w:val="a"/>
    <w:link w:val="Char0"/>
    <w:autoRedefine/>
    <w:uiPriority w:val="99"/>
    <w:semiHidden/>
    <w:unhideWhenUsed/>
    <w:qFormat/>
    <w:rPr>
      <w:sz w:val="18"/>
      <w:szCs w:val="18"/>
    </w:rPr>
  </w:style>
  <w:style w:type="paragraph" w:styleId="a7">
    <w:name w:val="footer"/>
    <w:basedOn w:val="a"/>
    <w:link w:val="Char1"/>
    <w:autoRedefine/>
    <w:uiPriority w:val="99"/>
    <w:unhideWhenUsed/>
    <w:qFormat/>
    <w:pPr>
      <w:tabs>
        <w:tab w:val="center" w:pos="4153"/>
        <w:tab w:val="right" w:pos="8306"/>
      </w:tabs>
      <w:snapToGrid w:val="0"/>
      <w:jc w:val="left"/>
    </w:pPr>
    <w:rPr>
      <w:sz w:val="18"/>
      <w:szCs w:val="18"/>
    </w:rPr>
  </w:style>
  <w:style w:type="paragraph" w:styleId="a8">
    <w:name w:val="header"/>
    <w:basedOn w:val="a"/>
    <w:link w:val="Char2"/>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autoRedefine/>
    <w:uiPriority w:val="39"/>
    <w:unhideWhenUsed/>
    <w:qFormat/>
    <w:pPr>
      <w:tabs>
        <w:tab w:val="right" w:leader="dot" w:pos="8296"/>
      </w:tabs>
      <w:spacing w:line="276" w:lineRule="auto"/>
    </w:pPr>
  </w:style>
  <w:style w:type="paragraph" w:styleId="20">
    <w:name w:val="toc 2"/>
    <w:basedOn w:val="a"/>
    <w:next w:val="a"/>
    <w:autoRedefine/>
    <w:uiPriority w:val="39"/>
    <w:unhideWhenUsed/>
    <w:qFormat/>
    <w:pPr>
      <w:ind w:leftChars="200" w:left="420"/>
    </w:pPr>
  </w:style>
  <w:style w:type="paragraph" w:styleId="a9">
    <w:name w:val="Normal (Web)"/>
    <w:basedOn w:val="a"/>
    <w:autoRedefine/>
    <w:uiPriority w:val="99"/>
    <w:semiHidden/>
    <w:unhideWhenUsed/>
    <w:qFormat/>
    <w:pPr>
      <w:spacing w:beforeAutospacing="1" w:afterAutospacing="1"/>
      <w:jc w:val="left"/>
    </w:pPr>
    <w:rPr>
      <w:rFonts w:cs="Times New Roman"/>
      <w:kern w:val="0"/>
    </w:rPr>
  </w:style>
  <w:style w:type="paragraph" w:styleId="aa">
    <w:name w:val="annotation subject"/>
    <w:basedOn w:val="a4"/>
    <w:next w:val="a4"/>
    <w:link w:val="Char3"/>
    <w:autoRedefine/>
    <w:uiPriority w:val="99"/>
    <w:semiHidden/>
    <w:unhideWhenUsed/>
    <w:qFormat/>
    <w:pPr>
      <w:widowControl w:val="0"/>
      <w:kinsoku/>
      <w:autoSpaceDE/>
      <w:autoSpaceDN/>
      <w:adjustRightInd/>
      <w:snapToGrid/>
      <w:textAlignment w:val="auto"/>
    </w:pPr>
    <w:rPr>
      <w:rFonts w:ascii="Times New Roman" w:eastAsia="宋体" w:hAnsi="Times New Roman" w:cstheme="minorBidi"/>
      <w:b/>
      <w:bCs/>
      <w:snapToGrid/>
      <w:color w:val="auto"/>
      <w:kern w:val="2"/>
      <w:sz w:val="24"/>
      <w:szCs w:val="22"/>
      <w:lang w:eastAsia="zh-CN"/>
    </w:rPr>
  </w:style>
  <w:style w:type="table" w:styleId="ab">
    <w:name w:val="Table Grid"/>
    <w:basedOn w:val="a1"/>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autoRedefine/>
    <w:uiPriority w:val="99"/>
    <w:unhideWhenUsed/>
    <w:qFormat/>
    <w:rPr>
      <w:color w:val="0563C1" w:themeColor="hyperlink"/>
      <w:u w:val="single"/>
    </w:rPr>
  </w:style>
  <w:style w:type="character" w:styleId="ad">
    <w:name w:val="annotation reference"/>
    <w:basedOn w:val="a0"/>
    <w:autoRedefine/>
    <w:uiPriority w:val="99"/>
    <w:semiHidden/>
    <w:unhideWhenUsed/>
    <w:qFormat/>
    <w:rPr>
      <w:sz w:val="21"/>
      <w:szCs w:val="21"/>
    </w:rPr>
  </w:style>
  <w:style w:type="paragraph" w:styleId="ae">
    <w:name w:val="List Paragraph"/>
    <w:basedOn w:val="a"/>
    <w:autoRedefine/>
    <w:uiPriority w:val="34"/>
    <w:qFormat/>
    <w:pPr>
      <w:ind w:firstLineChars="200" w:firstLine="420"/>
    </w:pPr>
  </w:style>
  <w:style w:type="character" w:customStyle="1" w:styleId="Char2">
    <w:name w:val="页眉 Char"/>
    <w:basedOn w:val="a0"/>
    <w:link w:val="a8"/>
    <w:autoRedefine/>
    <w:uiPriority w:val="99"/>
    <w:qFormat/>
    <w:rPr>
      <w:sz w:val="18"/>
      <w:szCs w:val="18"/>
    </w:rPr>
  </w:style>
  <w:style w:type="character" w:customStyle="1" w:styleId="Char1">
    <w:name w:val="页脚 Char"/>
    <w:basedOn w:val="a0"/>
    <w:link w:val="a7"/>
    <w:autoRedefine/>
    <w:uiPriority w:val="99"/>
    <w:qFormat/>
    <w:rPr>
      <w:sz w:val="18"/>
      <w:szCs w:val="18"/>
    </w:rPr>
  </w:style>
  <w:style w:type="character" w:customStyle="1" w:styleId="1Char">
    <w:name w:val="标题 1 Char"/>
    <w:basedOn w:val="a0"/>
    <w:link w:val="1"/>
    <w:autoRedefine/>
    <w:uiPriority w:val="9"/>
    <w:qFormat/>
    <w:rPr>
      <w:b/>
      <w:bCs/>
      <w:kern w:val="44"/>
      <w:sz w:val="44"/>
      <w:szCs w:val="44"/>
    </w:rPr>
  </w:style>
  <w:style w:type="character" w:customStyle="1" w:styleId="2Char">
    <w:name w:val="标题 2 Char"/>
    <w:basedOn w:val="a0"/>
    <w:link w:val="2"/>
    <w:autoRedefine/>
    <w:uiPriority w:val="9"/>
    <w:qFormat/>
    <w:rPr>
      <w:rFonts w:asciiTheme="majorHAnsi" w:eastAsiaTheme="majorEastAsia" w:hAnsiTheme="majorHAnsi" w:cstheme="majorBidi"/>
      <w:b/>
      <w:bCs/>
      <w:sz w:val="32"/>
      <w:szCs w:val="32"/>
    </w:rPr>
  </w:style>
  <w:style w:type="character" w:customStyle="1" w:styleId="3Char">
    <w:name w:val="标题 3 Char"/>
    <w:basedOn w:val="a0"/>
    <w:link w:val="3"/>
    <w:autoRedefine/>
    <w:uiPriority w:val="9"/>
    <w:qFormat/>
    <w:rPr>
      <w:b/>
      <w:bCs/>
      <w:sz w:val="32"/>
      <w:szCs w:val="32"/>
    </w:rPr>
  </w:style>
  <w:style w:type="paragraph" w:customStyle="1" w:styleId="TOC1">
    <w:name w:val="TOC 标题1"/>
    <w:basedOn w:val="1"/>
    <w:next w:val="a"/>
    <w:autoRedefine/>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Char">
    <w:name w:val="批注文字 Char"/>
    <w:basedOn w:val="a0"/>
    <w:link w:val="a4"/>
    <w:autoRedefine/>
    <w:qFormat/>
    <w:rPr>
      <w:rFonts w:ascii="Arial" w:eastAsia="Arial" w:hAnsi="Arial" w:cs="Arial"/>
      <w:snapToGrid w:val="0"/>
      <w:color w:val="000000"/>
      <w:kern w:val="0"/>
      <w:sz w:val="21"/>
      <w:szCs w:val="21"/>
      <w:lang w:eastAsia="en-US"/>
    </w:rPr>
  </w:style>
  <w:style w:type="table" w:customStyle="1" w:styleId="TableNormal">
    <w:name w:val="Table Normal"/>
    <w:autoRedefine/>
    <w:semiHidden/>
    <w:unhideWhenUsed/>
    <w:qFormat/>
    <w:tblPr>
      <w:tblCellMar>
        <w:top w:w="0" w:type="dxa"/>
        <w:left w:w="0" w:type="dxa"/>
        <w:bottom w:w="0" w:type="dxa"/>
        <w:right w:w="0" w:type="dxa"/>
      </w:tblCellMar>
    </w:tblPr>
  </w:style>
  <w:style w:type="character" w:customStyle="1" w:styleId="Char0">
    <w:name w:val="批注框文本 Char"/>
    <w:basedOn w:val="a0"/>
    <w:link w:val="a6"/>
    <w:autoRedefine/>
    <w:uiPriority w:val="99"/>
    <w:semiHidden/>
    <w:qFormat/>
    <w:rPr>
      <w:sz w:val="18"/>
      <w:szCs w:val="18"/>
    </w:rPr>
  </w:style>
  <w:style w:type="character" w:customStyle="1" w:styleId="Char3">
    <w:name w:val="批注主题 Char"/>
    <w:basedOn w:val="Char"/>
    <w:link w:val="aa"/>
    <w:autoRedefine/>
    <w:uiPriority w:val="99"/>
    <w:semiHidden/>
    <w:qFormat/>
    <w:rPr>
      <w:rFonts w:ascii="Arial" w:eastAsia="Arial" w:hAnsi="Arial" w:cs="Arial"/>
      <w:b/>
      <w:bCs/>
      <w:snapToGrid/>
      <w:color w:val="000000"/>
      <w:kern w:val="0"/>
      <w:sz w:val="21"/>
      <w:szCs w:val="21"/>
      <w:lang w:eastAsia="en-US"/>
    </w:rPr>
  </w:style>
  <w:style w:type="paragraph" w:customStyle="1" w:styleId="11">
    <w:name w:val="修订1"/>
    <w:autoRedefine/>
    <w:hidden/>
    <w:uiPriority w:val="99"/>
    <w:semiHidden/>
    <w:qFormat/>
    <w:rPr>
      <w:rFonts w:cstheme="minorBidi"/>
      <w:kern w:val="2"/>
      <w:sz w:val="24"/>
      <w:szCs w:val="22"/>
    </w:rPr>
  </w:style>
  <w:style w:type="paragraph" w:customStyle="1" w:styleId="TOC2">
    <w:name w:val="TOC 标题2"/>
    <w:basedOn w:val="1"/>
    <w:next w:val="a"/>
    <w:autoRedefine/>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font31">
    <w:name w:val="font31"/>
    <w:basedOn w:val="a0"/>
    <w:autoRedefine/>
    <w:qFormat/>
    <w:rPr>
      <w:rFonts w:ascii="宋体" w:eastAsia="宋体" w:hAnsi="宋体" w:cs="宋体" w:hint="eastAsia"/>
      <w:color w:val="000000"/>
      <w:sz w:val="21"/>
      <w:szCs w:val="21"/>
      <w:u w:val="none"/>
    </w:rPr>
  </w:style>
  <w:style w:type="character" w:customStyle="1" w:styleId="font21">
    <w:name w:val="font21"/>
    <w:basedOn w:val="a0"/>
    <w:autoRedefine/>
    <w:qFormat/>
    <w:rPr>
      <w:rFonts w:ascii="Times New Roman" w:hAnsi="Times New Roman" w:cs="Times New Roman" w:hint="default"/>
      <w:b/>
      <w:bCs/>
      <w:color w:val="000000"/>
      <w:sz w:val="21"/>
      <w:szCs w:val="21"/>
      <w:u w:val="none"/>
    </w:rPr>
  </w:style>
  <w:style w:type="character" w:customStyle="1" w:styleId="font11">
    <w:name w:val="font11"/>
    <w:basedOn w:val="a0"/>
    <w:autoRedefine/>
    <w:qFormat/>
    <w:rPr>
      <w:rFonts w:ascii="宋体" w:eastAsia="宋体" w:hAnsi="宋体" w:cs="宋体" w:hint="eastAsia"/>
      <w:b/>
      <w:bCs/>
      <w:color w:val="000000"/>
      <w:sz w:val="21"/>
      <w:szCs w:val="21"/>
      <w:u w:val="none"/>
    </w:rPr>
  </w:style>
  <w:style w:type="character" w:customStyle="1" w:styleId="font41">
    <w:name w:val="font41"/>
    <w:basedOn w:val="a0"/>
    <w:autoRedefine/>
    <w:qFormat/>
    <w:rPr>
      <w:rFonts w:ascii="Times New Roman" w:hAnsi="Times New Roman" w:cs="Times New Roman" w:hint="default"/>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45</Pages>
  <Words>4556</Words>
  <Characters>25971</Characters>
  <Application>Microsoft Office Word</Application>
  <DocSecurity>0</DocSecurity>
  <Lines>216</Lines>
  <Paragraphs>60</Paragraphs>
  <ScaleCrop>false</ScaleCrop>
  <Company>Microsoft</Company>
  <LinksUpToDate>false</LinksUpToDate>
  <CharactersWithSpaces>30467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ljqing</dc:creator>
  <cp:lastModifiedBy>王梓</cp:lastModifiedBy>
  <cp:revision>22</cp:revision>
  <dcterms:created xsi:type="dcterms:W3CDTF">2024-01-11T07:19:00Z</dcterms:created>
  <dcterms:modified xsi:type="dcterms:W3CDTF">2024-01-12T11:28:00Z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16D298F0897645928ACF86D9C3C6C91B_13</vt:lpwstr>
  </property>
</Properties>
</file>