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21" w:rsidRDefault="009A5C21" w:rsidP="00E56C63">
      <w:pPr>
        <w:pStyle w:val="a7"/>
        <w:jc w:val="center"/>
        <w:rPr>
          <w:b/>
          <w:sz w:val="32"/>
          <w:szCs w:val="32"/>
        </w:rPr>
      </w:pPr>
      <w:r w:rsidRPr="009A5C21">
        <w:rPr>
          <w:rFonts w:hint="eastAsia"/>
          <w:b/>
          <w:sz w:val="32"/>
          <w:szCs w:val="32"/>
        </w:rPr>
        <w:t>天风证券股份有限公司</w:t>
      </w:r>
    </w:p>
    <w:p w:rsidR="009A5C21" w:rsidRDefault="009A5C21" w:rsidP="00E56C63">
      <w:pPr>
        <w:pStyle w:val="a7"/>
        <w:jc w:val="center"/>
        <w:rPr>
          <w:b/>
          <w:sz w:val="32"/>
          <w:szCs w:val="32"/>
        </w:rPr>
      </w:pPr>
      <w:r w:rsidRPr="009A5C21">
        <w:rPr>
          <w:rFonts w:hint="eastAsia"/>
          <w:b/>
          <w:sz w:val="32"/>
          <w:szCs w:val="32"/>
        </w:rPr>
        <w:t>关于渤海水业股份有限公司</w:t>
      </w:r>
    </w:p>
    <w:p w:rsidR="00D1258D" w:rsidRDefault="009A5C21" w:rsidP="00E56C63">
      <w:pPr>
        <w:pStyle w:val="a7"/>
        <w:jc w:val="center"/>
        <w:rPr>
          <w:b/>
          <w:sz w:val="32"/>
          <w:szCs w:val="32"/>
        </w:rPr>
      </w:pPr>
      <w:r w:rsidRPr="009A5C21">
        <w:rPr>
          <w:rFonts w:hint="eastAsia"/>
          <w:b/>
          <w:sz w:val="32"/>
          <w:szCs w:val="32"/>
        </w:rPr>
        <w:t>非公开发行</w:t>
      </w:r>
      <w:r w:rsidRPr="009A5C21">
        <w:rPr>
          <w:rFonts w:hint="eastAsia"/>
          <w:b/>
          <w:sz w:val="32"/>
          <w:szCs w:val="32"/>
        </w:rPr>
        <w:t>A</w:t>
      </w:r>
      <w:r w:rsidRPr="009A5C21">
        <w:rPr>
          <w:rFonts w:hint="eastAsia"/>
          <w:b/>
          <w:sz w:val="32"/>
          <w:szCs w:val="32"/>
        </w:rPr>
        <w:t>股股票持续督导保荐总结报告书</w:t>
      </w:r>
    </w:p>
    <w:p w:rsidR="009A5C21" w:rsidRDefault="009A5C21" w:rsidP="00E56C63">
      <w:pPr>
        <w:pStyle w:val="a7"/>
        <w:jc w:val="center"/>
        <w:rPr>
          <w:b/>
          <w:sz w:val="32"/>
          <w:szCs w:val="32"/>
        </w:rPr>
      </w:pPr>
    </w:p>
    <w:p w:rsidR="009A5C21" w:rsidRDefault="009A5C21" w:rsidP="009A5C21">
      <w:pPr>
        <w:pStyle w:val="a7"/>
        <w:spacing w:line="360" w:lineRule="auto"/>
        <w:ind w:firstLineChars="200" w:firstLine="480"/>
        <w:rPr>
          <w:sz w:val="24"/>
          <w:szCs w:val="24"/>
        </w:rPr>
      </w:pPr>
      <w:r w:rsidRPr="009A5C21">
        <w:rPr>
          <w:rFonts w:hint="eastAsia"/>
          <w:sz w:val="24"/>
          <w:szCs w:val="24"/>
        </w:rPr>
        <w:t>渤海水业股份有限公司（以下简称“</w:t>
      </w:r>
      <w:r>
        <w:rPr>
          <w:rFonts w:hint="eastAsia"/>
          <w:sz w:val="24"/>
          <w:szCs w:val="24"/>
        </w:rPr>
        <w:t>渤海股份</w:t>
      </w:r>
      <w:r w:rsidRPr="009A5C21">
        <w:rPr>
          <w:rFonts w:hint="eastAsia"/>
          <w:sz w:val="24"/>
          <w:szCs w:val="24"/>
        </w:rPr>
        <w:t>”或“公司”或“发行人”）因</w:t>
      </w:r>
      <w:r w:rsidRPr="009A5C21">
        <w:rPr>
          <w:rFonts w:hint="eastAsia"/>
          <w:sz w:val="24"/>
          <w:szCs w:val="24"/>
        </w:rPr>
        <w:t>201</w:t>
      </w:r>
      <w:r w:rsidR="002C5AC5">
        <w:rPr>
          <w:sz w:val="24"/>
          <w:szCs w:val="24"/>
        </w:rPr>
        <w:t>6</w:t>
      </w:r>
      <w:r w:rsidRPr="009A5C21">
        <w:rPr>
          <w:rFonts w:hint="eastAsia"/>
          <w:sz w:val="24"/>
          <w:szCs w:val="24"/>
        </w:rPr>
        <w:t>年非公开发行股票事项，由</w:t>
      </w:r>
      <w:r>
        <w:rPr>
          <w:rFonts w:hint="eastAsia"/>
          <w:sz w:val="24"/>
          <w:szCs w:val="24"/>
        </w:rPr>
        <w:t>天风</w:t>
      </w:r>
      <w:r w:rsidRPr="009A5C21">
        <w:rPr>
          <w:rFonts w:hint="eastAsia"/>
          <w:sz w:val="24"/>
          <w:szCs w:val="24"/>
        </w:rPr>
        <w:t>证券股份有限公司（以下简称“</w:t>
      </w:r>
      <w:r>
        <w:rPr>
          <w:rFonts w:hint="eastAsia"/>
          <w:sz w:val="24"/>
          <w:szCs w:val="24"/>
        </w:rPr>
        <w:t>天风证券</w:t>
      </w:r>
      <w:r w:rsidRPr="009A5C21">
        <w:rPr>
          <w:rFonts w:hint="eastAsia"/>
          <w:sz w:val="24"/>
          <w:szCs w:val="24"/>
        </w:rPr>
        <w:t>”或“保荐机构”）担任持续督导保荐机构，持续督导期截至</w:t>
      </w:r>
      <w:r w:rsidRPr="009A5C21">
        <w:rPr>
          <w:rFonts w:hint="eastAsia"/>
          <w:sz w:val="24"/>
          <w:szCs w:val="24"/>
        </w:rPr>
        <w:t>2018</w:t>
      </w:r>
      <w:r w:rsidRPr="009A5C21">
        <w:rPr>
          <w:rFonts w:hint="eastAsia"/>
          <w:sz w:val="24"/>
          <w:szCs w:val="24"/>
        </w:rPr>
        <w:t>年</w:t>
      </w:r>
      <w:r w:rsidRPr="009A5C21">
        <w:rPr>
          <w:rFonts w:hint="eastAsia"/>
          <w:sz w:val="24"/>
          <w:szCs w:val="24"/>
        </w:rPr>
        <w:t>12</w:t>
      </w:r>
      <w:r w:rsidRPr="009A5C21">
        <w:rPr>
          <w:rFonts w:hint="eastAsia"/>
          <w:sz w:val="24"/>
          <w:szCs w:val="24"/>
        </w:rPr>
        <w:t>月</w:t>
      </w:r>
      <w:r w:rsidRPr="009A5C21">
        <w:rPr>
          <w:rFonts w:hint="eastAsia"/>
          <w:sz w:val="24"/>
          <w:szCs w:val="24"/>
        </w:rPr>
        <w:t>31</w:t>
      </w:r>
      <w:r w:rsidRPr="009A5C21">
        <w:rPr>
          <w:rFonts w:hint="eastAsia"/>
          <w:sz w:val="24"/>
          <w:szCs w:val="24"/>
        </w:rPr>
        <w:t>日。目前，持续督导期限已届满，</w:t>
      </w:r>
      <w:r>
        <w:rPr>
          <w:rFonts w:hint="eastAsia"/>
          <w:sz w:val="24"/>
          <w:szCs w:val="24"/>
        </w:rPr>
        <w:t>天风证券</w:t>
      </w:r>
      <w:r w:rsidRPr="009A5C21">
        <w:rPr>
          <w:rFonts w:hint="eastAsia"/>
          <w:sz w:val="24"/>
          <w:szCs w:val="24"/>
        </w:rPr>
        <w:t>现根据《证券发行上市保荐业务管理办法》的相关规定，出具本持续督导保荐总结报告书。</w:t>
      </w:r>
    </w:p>
    <w:p w:rsidR="009A5C21" w:rsidRPr="008F585E" w:rsidRDefault="009A5C21" w:rsidP="009A5C21">
      <w:pPr>
        <w:pStyle w:val="a7"/>
        <w:spacing w:line="360" w:lineRule="auto"/>
        <w:ind w:firstLineChars="200" w:firstLine="482"/>
        <w:rPr>
          <w:b/>
          <w:sz w:val="24"/>
          <w:szCs w:val="24"/>
        </w:rPr>
      </w:pPr>
      <w:r w:rsidRPr="008F585E">
        <w:rPr>
          <w:rFonts w:hint="eastAsia"/>
          <w:b/>
          <w:sz w:val="24"/>
          <w:szCs w:val="24"/>
        </w:rPr>
        <w:t>一、保荐机构及保荐代表人承诺</w:t>
      </w:r>
    </w:p>
    <w:p w:rsidR="009A5C21" w:rsidRPr="009A5C21" w:rsidRDefault="009A5C21" w:rsidP="009A5C21">
      <w:pPr>
        <w:pStyle w:val="a7"/>
        <w:spacing w:line="360" w:lineRule="auto"/>
        <w:ind w:firstLineChars="200" w:firstLine="480"/>
        <w:rPr>
          <w:sz w:val="24"/>
          <w:szCs w:val="24"/>
        </w:rPr>
      </w:pPr>
      <w:r w:rsidRPr="009A5C21">
        <w:rPr>
          <w:rFonts w:hint="eastAsia"/>
          <w:sz w:val="24"/>
          <w:szCs w:val="24"/>
        </w:rPr>
        <w:t>1</w:t>
      </w:r>
      <w:r w:rsidRPr="009A5C21">
        <w:rPr>
          <w:rFonts w:hint="eastAsia"/>
          <w:sz w:val="24"/>
          <w:szCs w:val="24"/>
        </w:rPr>
        <w:t>、保荐总结报告书和证明文件及其相关资料的内容不存在虚假记载、误导性陈述或重大遗漏，保荐机构及保荐代表人对其真实性、准确性、完整性承担法律责任。</w:t>
      </w:r>
    </w:p>
    <w:p w:rsidR="009A5C21" w:rsidRPr="009A5C21" w:rsidRDefault="009A5C21" w:rsidP="009A5C21">
      <w:pPr>
        <w:pStyle w:val="a7"/>
        <w:spacing w:line="360" w:lineRule="auto"/>
        <w:ind w:firstLineChars="200" w:firstLine="480"/>
        <w:rPr>
          <w:sz w:val="24"/>
          <w:szCs w:val="24"/>
        </w:rPr>
      </w:pPr>
      <w:r w:rsidRPr="009A5C21">
        <w:rPr>
          <w:rFonts w:hint="eastAsia"/>
          <w:sz w:val="24"/>
          <w:szCs w:val="24"/>
        </w:rPr>
        <w:t>2</w:t>
      </w:r>
      <w:r w:rsidRPr="009A5C21">
        <w:rPr>
          <w:rFonts w:hint="eastAsia"/>
          <w:sz w:val="24"/>
          <w:szCs w:val="24"/>
        </w:rPr>
        <w:t>、本保荐机构及本人自愿接受中国证监会对保荐总结报告书相关事项进行的任何质询和调查。</w:t>
      </w:r>
    </w:p>
    <w:p w:rsidR="009A5C21" w:rsidRDefault="009A5C21" w:rsidP="009A5C21">
      <w:pPr>
        <w:pStyle w:val="a7"/>
        <w:spacing w:line="360" w:lineRule="auto"/>
        <w:ind w:firstLineChars="200" w:firstLine="480"/>
        <w:rPr>
          <w:sz w:val="24"/>
          <w:szCs w:val="24"/>
        </w:rPr>
      </w:pPr>
      <w:r w:rsidRPr="009A5C21">
        <w:rPr>
          <w:rFonts w:hint="eastAsia"/>
          <w:sz w:val="24"/>
          <w:szCs w:val="24"/>
        </w:rPr>
        <w:t>3</w:t>
      </w:r>
      <w:r w:rsidRPr="009A5C21">
        <w:rPr>
          <w:rFonts w:hint="eastAsia"/>
          <w:sz w:val="24"/>
          <w:szCs w:val="24"/>
        </w:rPr>
        <w:t>、本保荐机构及本人自愿接受中国证监会按照《证券发行上市保荐业务管理办法》及《深圳证券交易所上市公司保荐工作指引》的有关规定采取的监管措施。</w:t>
      </w:r>
    </w:p>
    <w:p w:rsidR="009A5C21" w:rsidRPr="00923EDA" w:rsidRDefault="009A5C21" w:rsidP="009A5C21">
      <w:pPr>
        <w:pStyle w:val="a7"/>
        <w:spacing w:line="360" w:lineRule="auto"/>
        <w:ind w:firstLineChars="200" w:firstLine="482"/>
        <w:rPr>
          <w:b/>
          <w:sz w:val="24"/>
          <w:szCs w:val="24"/>
        </w:rPr>
      </w:pPr>
      <w:r w:rsidRPr="00923EDA">
        <w:rPr>
          <w:rFonts w:hint="eastAsia"/>
          <w:b/>
          <w:sz w:val="24"/>
          <w:szCs w:val="24"/>
        </w:rPr>
        <w:t>二、保荐机构基本情况</w:t>
      </w:r>
    </w:p>
    <w:tbl>
      <w:tblPr>
        <w:tblStyle w:val="a3"/>
        <w:tblW w:w="5000" w:type="pct"/>
        <w:tblLook w:val="04A0" w:firstRow="1" w:lastRow="0" w:firstColumn="1" w:lastColumn="0" w:noHBand="0" w:noVBand="1"/>
      </w:tblPr>
      <w:tblGrid>
        <w:gridCol w:w="2033"/>
        <w:gridCol w:w="6489"/>
      </w:tblGrid>
      <w:tr w:rsidR="00E56C63" w:rsidRPr="004F281C" w:rsidTr="009A5C21">
        <w:trPr>
          <w:trHeight w:val="384"/>
        </w:trPr>
        <w:tc>
          <w:tcPr>
            <w:tcW w:w="1193" w:type="pct"/>
          </w:tcPr>
          <w:p w:rsidR="00E56C63" w:rsidRPr="004F281C" w:rsidRDefault="009A5C21" w:rsidP="009A5C21">
            <w:pPr>
              <w:jc w:val="left"/>
              <w:rPr>
                <w:rFonts w:cs="Times New Roman"/>
              </w:rPr>
            </w:pPr>
            <w:r>
              <w:rPr>
                <w:rFonts w:cs="Times New Roman"/>
              </w:rPr>
              <w:t>保荐机构</w:t>
            </w:r>
          </w:p>
        </w:tc>
        <w:tc>
          <w:tcPr>
            <w:tcW w:w="3807" w:type="pct"/>
          </w:tcPr>
          <w:p w:rsidR="00E56C63" w:rsidRPr="004F281C" w:rsidRDefault="009A5C21" w:rsidP="00D1258D">
            <w:pPr>
              <w:jc w:val="left"/>
              <w:rPr>
                <w:rFonts w:cs="Times New Roman"/>
              </w:rPr>
            </w:pPr>
            <w:r w:rsidRPr="004F281C">
              <w:rPr>
                <w:rFonts w:cs="Times New Roman"/>
              </w:rPr>
              <w:t>天风证券股份有限公司</w:t>
            </w:r>
          </w:p>
        </w:tc>
      </w:tr>
      <w:tr w:rsidR="00E56C63" w:rsidRPr="004F281C" w:rsidTr="009A5C21">
        <w:tc>
          <w:tcPr>
            <w:tcW w:w="1193" w:type="pct"/>
          </w:tcPr>
          <w:p w:rsidR="00E56C63" w:rsidRPr="004F281C" w:rsidRDefault="009A5C21" w:rsidP="00D1258D">
            <w:pPr>
              <w:jc w:val="left"/>
              <w:rPr>
                <w:rFonts w:cs="Times New Roman"/>
              </w:rPr>
            </w:pPr>
            <w:r>
              <w:rPr>
                <w:rFonts w:cs="Times New Roman" w:hint="eastAsia"/>
              </w:rPr>
              <w:t>注册</w:t>
            </w:r>
            <w:r>
              <w:rPr>
                <w:rFonts w:cs="Times New Roman"/>
              </w:rPr>
              <w:t>地址</w:t>
            </w:r>
          </w:p>
        </w:tc>
        <w:tc>
          <w:tcPr>
            <w:tcW w:w="3807" w:type="pct"/>
          </w:tcPr>
          <w:p w:rsidR="00E56C63" w:rsidRPr="004F281C" w:rsidRDefault="009A5C21" w:rsidP="00D1258D">
            <w:pPr>
              <w:jc w:val="left"/>
              <w:rPr>
                <w:rFonts w:cs="Times New Roman"/>
              </w:rPr>
            </w:pPr>
            <w:r w:rsidRPr="009A5C21">
              <w:rPr>
                <w:rFonts w:cs="Times New Roman" w:hint="eastAsia"/>
              </w:rPr>
              <w:t>湖北省武汉市东湖新技术开发区关东园路</w:t>
            </w:r>
            <w:r w:rsidRPr="009A5C21">
              <w:rPr>
                <w:rFonts w:cs="Times New Roman" w:hint="eastAsia"/>
              </w:rPr>
              <w:t>2</w:t>
            </w:r>
            <w:r w:rsidRPr="009A5C21">
              <w:rPr>
                <w:rFonts w:cs="Times New Roman" w:hint="eastAsia"/>
              </w:rPr>
              <w:t>号高科大厦四楼</w:t>
            </w:r>
            <w:r w:rsidRPr="009A5C21">
              <w:rPr>
                <w:rFonts w:cs="Times New Roman" w:hint="eastAsia"/>
              </w:rPr>
              <w:tab/>
            </w:r>
          </w:p>
        </w:tc>
      </w:tr>
      <w:tr w:rsidR="00E56C63" w:rsidRPr="004F281C" w:rsidTr="009A5C21">
        <w:tc>
          <w:tcPr>
            <w:tcW w:w="1193" w:type="pct"/>
          </w:tcPr>
          <w:p w:rsidR="00E56C63" w:rsidRPr="004F281C" w:rsidRDefault="009A5C21" w:rsidP="00D1258D">
            <w:pPr>
              <w:jc w:val="left"/>
              <w:rPr>
                <w:rFonts w:cs="Times New Roman"/>
              </w:rPr>
            </w:pPr>
            <w:r>
              <w:rPr>
                <w:rFonts w:cs="Times New Roman" w:hint="eastAsia"/>
              </w:rPr>
              <w:t>主要</w:t>
            </w:r>
            <w:r>
              <w:rPr>
                <w:rFonts w:cs="Times New Roman"/>
              </w:rPr>
              <w:t>办公地址</w:t>
            </w:r>
          </w:p>
        </w:tc>
        <w:tc>
          <w:tcPr>
            <w:tcW w:w="3807" w:type="pct"/>
          </w:tcPr>
          <w:p w:rsidR="00E56C63" w:rsidRPr="004F281C" w:rsidRDefault="009A5C21" w:rsidP="009A5C21">
            <w:pPr>
              <w:jc w:val="left"/>
              <w:rPr>
                <w:rFonts w:cs="Times New Roman"/>
              </w:rPr>
            </w:pPr>
            <w:r w:rsidRPr="009A5C21">
              <w:rPr>
                <w:rFonts w:cs="Times New Roman" w:hint="eastAsia"/>
              </w:rPr>
              <w:t>湖北省武汉市武昌区中南路</w:t>
            </w:r>
            <w:r w:rsidRPr="009A5C21">
              <w:rPr>
                <w:rFonts w:cs="Times New Roman" w:hint="eastAsia"/>
              </w:rPr>
              <w:t>99</w:t>
            </w:r>
            <w:r w:rsidRPr="009A5C21">
              <w:rPr>
                <w:rFonts w:cs="Times New Roman" w:hint="eastAsia"/>
              </w:rPr>
              <w:t>号保利广场</w:t>
            </w:r>
            <w:r w:rsidRPr="009A5C21">
              <w:rPr>
                <w:rFonts w:cs="Times New Roman" w:hint="eastAsia"/>
              </w:rPr>
              <w:t>A</w:t>
            </w:r>
            <w:r w:rsidRPr="009A5C21">
              <w:rPr>
                <w:rFonts w:cs="Times New Roman" w:hint="eastAsia"/>
              </w:rPr>
              <w:t>座</w:t>
            </w:r>
            <w:r w:rsidRPr="009A5C21">
              <w:rPr>
                <w:rFonts w:cs="Times New Roman" w:hint="eastAsia"/>
              </w:rPr>
              <w:t>37</w:t>
            </w:r>
            <w:r w:rsidRPr="009A5C21">
              <w:rPr>
                <w:rFonts w:cs="Times New Roman" w:hint="eastAsia"/>
              </w:rPr>
              <w:t>楼</w:t>
            </w:r>
            <w:r w:rsidRPr="009A5C21">
              <w:rPr>
                <w:rFonts w:cs="Times New Roman" w:hint="eastAsia"/>
              </w:rPr>
              <w:tab/>
            </w:r>
          </w:p>
        </w:tc>
      </w:tr>
      <w:tr w:rsidR="009A5C21" w:rsidRPr="004F281C" w:rsidTr="009A5C21">
        <w:tc>
          <w:tcPr>
            <w:tcW w:w="1193" w:type="pct"/>
          </w:tcPr>
          <w:p w:rsidR="009A5C21" w:rsidRDefault="009A5C21" w:rsidP="00D1258D">
            <w:pPr>
              <w:jc w:val="left"/>
              <w:rPr>
                <w:rFonts w:cs="Times New Roman"/>
              </w:rPr>
            </w:pPr>
            <w:r w:rsidRPr="009A5C21">
              <w:rPr>
                <w:rFonts w:cs="Times New Roman" w:hint="eastAsia"/>
              </w:rPr>
              <w:t>法定代表人</w:t>
            </w:r>
          </w:p>
        </w:tc>
        <w:tc>
          <w:tcPr>
            <w:tcW w:w="3807" w:type="pct"/>
          </w:tcPr>
          <w:p w:rsidR="009A5C21" w:rsidRPr="004F281C" w:rsidRDefault="009A5C21" w:rsidP="00D1258D">
            <w:pPr>
              <w:jc w:val="left"/>
              <w:rPr>
                <w:rFonts w:cs="Times New Roman"/>
              </w:rPr>
            </w:pPr>
            <w:r>
              <w:rPr>
                <w:rFonts w:cs="Times New Roman"/>
              </w:rPr>
              <w:t>余磊</w:t>
            </w:r>
          </w:p>
        </w:tc>
      </w:tr>
      <w:tr w:rsidR="009A5C21" w:rsidRPr="004F281C" w:rsidTr="009A5C21">
        <w:tc>
          <w:tcPr>
            <w:tcW w:w="1193" w:type="pct"/>
          </w:tcPr>
          <w:p w:rsidR="009A5C21" w:rsidRDefault="009A5C21" w:rsidP="00D1258D">
            <w:pPr>
              <w:jc w:val="left"/>
              <w:rPr>
                <w:rFonts w:cs="Times New Roman"/>
              </w:rPr>
            </w:pPr>
            <w:r>
              <w:rPr>
                <w:rFonts w:cs="Times New Roman" w:hint="eastAsia"/>
              </w:rPr>
              <w:t>保荐代表人</w:t>
            </w:r>
          </w:p>
        </w:tc>
        <w:tc>
          <w:tcPr>
            <w:tcW w:w="3807" w:type="pct"/>
          </w:tcPr>
          <w:p w:rsidR="009A5C21" w:rsidRPr="004F281C" w:rsidRDefault="009A5C21" w:rsidP="00D1258D">
            <w:pPr>
              <w:jc w:val="left"/>
              <w:rPr>
                <w:rFonts w:cs="Times New Roman"/>
              </w:rPr>
            </w:pPr>
            <w:r>
              <w:rPr>
                <w:rFonts w:cs="Times New Roman"/>
              </w:rPr>
              <w:t>张嘉棋</w:t>
            </w:r>
            <w:r>
              <w:rPr>
                <w:rFonts w:cs="Times New Roman" w:hint="eastAsia"/>
              </w:rPr>
              <w:t>、</w:t>
            </w:r>
            <w:r>
              <w:rPr>
                <w:rFonts w:cs="Times New Roman"/>
              </w:rPr>
              <w:t>李尧</w:t>
            </w:r>
          </w:p>
        </w:tc>
      </w:tr>
      <w:tr w:rsidR="009A5C21" w:rsidRPr="004F281C" w:rsidTr="009A5C21">
        <w:tc>
          <w:tcPr>
            <w:tcW w:w="1193" w:type="pct"/>
          </w:tcPr>
          <w:p w:rsidR="009A5C21" w:rsidRDefault="009A5C21" w:rsidP="00D1258D">
            <w:pPr>
              <w:jc w:val="left"/>
              <w:rPr>
                <w:rFonts w:cs="Times New Roman"/>
              </w:rPr>
            </w:pPr>
            <w:r>
              <w:rPr>
                <w:rFonts w:cs="Times New Roman" w:hint="eastAsia"/>
              </w:rPr>
              <w:t>联系电话</w:t>
            </w:r>
          </w:p>
        </w:tc>
        <w:tc>
          <w:tcPr>
            <w:tcW w:w="3807" w:type="pct"/>
          </w:tcPr>
          <w:p w:rsidR="009A5C21" w:rsidRPr="004F281C" w:rsidRDefault="009A5C21" w:rsidP="00D1258D">
            <w:pPr>
              <w:jc w:val="left"/>
              <w:rPr>
                <w:rFonts w:cs="Times New Roman"/>
              </w:rPr>
            </w:pPr>
            <w:r w:rsidRPr="004F281C">
              <w:rPr>
                <w:rFonts w:cs="Times New Roman"/>
              </w:rPr>
              <w:t>022-59061800</w:t>
            </w:r>
          </w:p>
        </w:tc>
      </w:tr>
    </w:tbl>
    <w:p w:rsidR="00D1258D" w:rsidRDefault="00923EDA" w:rsidP="00923EDA">
      <w:pPr>
        <w:pStyle w:val="a7"/>
        <w:spacing w:line="360" w:lineRule="auto"/>
        <w:ind w:firstLineChars="200" w:firstLine="482"/>
        <w:rPr>
          <w:b/>
          <w:sz w:val="24"/>
          <w:szCs w:val="24"/>
        </w:rPr>
      </w:pPr>
      <w:r w:rsidRPr="00923EDA">
        <w:rPr>
          <w:b/>
          <w:sz w:val="24"/>
          <w:szCs w:val="24"/>
        </w:rPr>
        <w:t>三</w:t>
      </w:r>
      <w:r w:rsidRPr="00923EDA">
        <w:rPr>
          <w:rFonts w:hint="eastAsia"/>
          <w:b/>
          <w:sz w:val="24"/>
          <w:szCs w:val="24"/>
        </w:rPr>
        <w:t>、</w:t>
      </w:r>
      <w:r w:rsidRPr="00923EDA">
        <w:rPr>
          <w:b/>
          <w:sz w:val="24"/>
          <w:szCs w:val="24"/>
        </w:rPr>
        <w:t>发行人基本情况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235"/>
        <w:gridCol w:w="6287"/>
      </w:tblGrid>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t>发行人名称</w:t>
            </w:r>
          </w:p>
        </w:tc>
        <w:tc>
          <w:tcPr>
            <w:tcW w:w="6287" w:type="dxa"/>
            <w:vAlign w:val="center"/>
          </w:tcPr>
          <w:p w:rsidR="00923EDA" w:rsidRPr="00923EDA" w:rsidRDefault="00923EDA" w:rsidP="00923EDA">
            <w:pPr>
              <w:rPr>
                <w:rFonts w:cs="Times New Roman"/>
                <w:color w:val="000000"/>
                <w:szCs w:val="21"/>
              </w:rPr>
            </w:pPr>
            <w:r w:rsidRPr="00923EDA">
              <w:rPr>
                <w:rFonts w:cs="Times New Roman"/>
                <w:color w:val="000000"/>
                <w:szCs w:val="21"/>
              </w:rPr>
              <w:t>渤海水业股份有限公司</w:t>
            </w:r>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t>英文名称</w:t>
            </w:r>
          </w:p>
        </w:tc>
        <w:tc>
          <w:tcPr>
            <w:tcW w:w="6287" w:type="dxa"/>
            <w:vAlign w:val="center"/>
          </w:tcPr>
          <w:p w:rsidR="00923EDA" w:rsidRPr="00923EDA" w:rsidRDefault="00923EDA" w:rsidP="00923EDA">
            <w:pPr>
              <w:rPr>
                <w:rFonts w:cs="Times New Roman"/>
                <w:color w:val="000000"/>
                <w:szCs w:val="21"/>
              </w:rPr>
            </w:pPr>
            <w:proofErr w:type="spellStart"/>
            <w:r w:rsidRPr="00923EDA">
              <w:rPr>
                <w:rFonts w:cs="Times New Roman" w:hint="eastAsia"/>
                <w:color w:val="000000"/>
                <w:szCs w:val="21"/>
              </w:rPr>
              <w:t>Bohai</w:t>
            </w:r>
            <w:proofErr w:type="spellEnd"/>
            <w:r w:rsidRPr="00923EDA">
              <w:rPr>
                <w:rFonts w:cs="Times New Roman" w:hint="eastAsia"/>
                <w:color w:val="000000"/>
                <w:szCs w:val="21"/>
              </w:rPr>
              <w:t xml:space="preserve"> Water Industry Co., Ltd.</w:t>
            </w:r>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t>股票简称及代码</w:t>
            </w:r>
          </w:p>
        </w:tc>
        <w:tc>
          <w:tcPr>
            <w:tcW w:w="6287" w:type="dxa"/>
            <w:vAlign w:val="center"/>
          </w:tcPr>
          <w:p w:rsidR="00923EDA" w:rsidRPr="00923EDA" w:rsidRDefault="00923EDA" w:rsidP="00923EDA">
            <w:pPr>
              <w:rPr>
                <w:rFonts w:cs="Times New Roman"/>
                <w:color w:val="000000"/>
                <w:szCs w:val="21"/>
              </w:rPr>
            </w:pPr>
            <w:r w:rsidRPr="00923EDA">
              <w:rPr>
                <w:rFonts w:cs="Times New Roman"/>
                <w:color w:val="000000"/>
                <w:szCs w:val="21"/>
              </w:rPr>
              <w:t>渤海股份</w:t>
            </w:r>
            <w:r w:rsidRPr="00923EDA">
              <w:rPr>
                <w:rFonts w:cs="Times New Roman"/>
                <w:color w:val="000000"/>
                <w:szCs w:val="21"/>
              </w:rPr>
              <w:t>000605</w:t>
            </w:r>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t>上市地</w:t>
            </w:r>
          </w:p>
        </w:tc>
        <w:tc>
          <w:tcPr>
            <w:tcW w:w="6287" w:type="dxa"/>
            <w:vAlign w:val="center"/>
          </w:tcPr>
          <w:p w:rsidR="00923EDA" w:rsidRPr="00923EDA" w:rsidRDefault="00923EDA" w:rsidP="00923EDA">
            <w:pPr>
              <w:rPr>
                <w:rFonts w:cs="Times New Roman"/>
                <w:color w:val="000000"/>
                <w:szCs w:val="21"/>
              </w:rPr>
            </w:pPr>
            <w:r w:rsidRPr="00923EDA">
              <w:rPr>
                <w:rFonts w:cs="Times New Roman"/>
                <w:color w:val="000000"/>
                <w:szCs w:val="21"/>
              </w:rPr>
              <w:t>深圳证券交易所</w:t>
            </w:r>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szCs w:val="21"/>
              </w:rPr>
              <w:t>统一社会信用代码</w:t>
            </w:r>
          </w:p>
        </w:tc>
        <w:tc>
          <w:tcPr>
            <w:tcW w:w="6287" w:type="dxa"/>
            <w:vAlign w:val="center"/>
          </w:tcPr>
          <w:p w:rsidR="00923EDA" w:rsidRPr="00923EDA" w:rsidRDefault="00923EDA" w:rsidP="00923EDA">
            <w:pPr>
              <w:rPr>
                <w:rFonts w:cs="Times New Roman"/>
                <w:color w:val="000000"/>
                <w:szCs w:val="21"/>
              </w:rPr>
            </w:pPr>
            <w:r w:rsidRPr="00923EDA">
              <w:rPr>
                <w:rFonts w:cs="Times New Roman"/>
                <w:color w:val="000000"/>
                <w:szCs w:val="21"/>
              </w:rPr>
              <w:t>911100001000238085</w:t>
            </w:r>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lastRenderedPageBreak/>
              <w:t>注册资本</w:t>
            </w:r>
          </w:p>
        </w:tc>
        <w:tc>
          <w:tcPr>
            <w:tcW w:w="6287" w:type="dxa"/>
            <w:vAlign w:val="center"/>
          </w:tcPr>
          <w:p w:rsidR="00923EDA" w:rsidRPr="00923EDA" w:rsidRDefault="00923EDA" w:rsidP="00923EDA">
            <w:pPr>
              <w:rPr>
                <w:rFonts w:cs="Times New Roman"/>
                <w:color w:val="000000"/>
                <w:szCs w:val="21"/>
              </w:rPr>
            </w:pPr>
            <w:r w:rsidRPr="00923EDA">
              <w:rPr>
                <w:rFonts w:cs="Times New Roman" w:hint="eastAsia"/>
                <w:color w:val="000000"/>
                <w:szCs w:val="21"/>
              </w:rPr>
              <w:t>352,658,600</w:t>
            </w:r>
            <w:r w:rsidRPr="00923EDA">
              <w:rPr>
                <w:rFonts w:cs="Times New Roman" w:hint="eastAsia"/>
                <w:color w:val="000000"/>
                <w:szCs w:val="21"/>
              </w:rPr>
              <w:t>元</w:t>
            </w:r>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t>注册地址</w:t>
            </w:r>
          </w:p>
        </w:tc>
        <w:tc>
          <w:tcPr>
            <w:tcW w:w="6287" w:type="dxa"/>
            <w:vAlign w:val="center"/>
          </w:tcPr>
          <w:p w:rsidR="00923EDA" w:rsidRPr="00923EDA" w:rsidRDefault="00923EDA" w:rsidP="00923EDA">
            <w:pPr>
              <w:rPr>
                <w:rFonts w:cs="Times New Roman"/>
                <w:color w:val="000000"/>
                <w:szCs w:val="21"/>
              </w:rPr>
            </w:pPr>
            <w:r w:rsidRPr="00923EDA">
              <w:rPr>
                <w:rFonts w:cs="Times New Roman" w:hint="eastAsia"/>
                <w:color w:val="000000"/>
                <w:szCs w:val="21"/>
              </w:rPr>
              <w:t>北京市顺义区中关村科技园顺义园临空二路</w:t>
            </w:r>
            <w:r w:rsidRPr="00923EDA">
              <w:rPr>
                <w:rFonts w:cs="Times New Roman" w:hint="eastAsia"/>
                <w:color w:val="000000"/>
                <w:szCs w:val="21"/>
              </w:rPr>
              <w:t>1</w:t>
            </w:r>
            <w:r w:rsidRPr="00923EDA">
              <w:rPr>
                <w:rFonts w:cs="Times New Roman" w:hint="eastAsia"/>
                <w:color w:val="000000"/>
                <w:szCs w:val="21"/>
              </w:rPr>
              <w:t>号</w:t>
            </w:r>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t>办公地址</w:t>
            </w:r>
          </w:p>
        </w:tc>
        <w:tc>
          <w:tcPr>
            <w:tcW w:w="6287" w:type="dxa"/>
            <w:vAlign w:val="center"/>
          </w:tcPr>
          <w:p w:rsidR="00923EDA" w:rsidRPr="00923EDA" w:rsidRDefault="008C5FDA" w:rsidP="00923EDA">
            <w:pPr>
              <w:rPr>
                <w:rFonts w:cs="Times New Roman"/>
                <w:color w:val="000000"/>
                <w:szCs w:val="21"/>
              </w:rPr>
            </w:pPr>
            <w:r w:rsidRPr="008C5FDA">
              <w:rPr>
                <w:rFonts w:cs="Times New Roman" w:hint="eastAsia"/>
                <w:color w:val="000000"/>
                <w:szCs w:val="21"/>
              </w:rPr>
              <w:t>北京市通州区潞苑东路</w:t>
            </w:r>
            <w:r w:rsidRPr="008C5FDA">
              <w:rPr>
                <w:rFonts w:cs="Times New Roman" w:hint="eastAsia"/>
                <w:color w:val="000000"/>
                <w:szCs w:val="21"/>
              </w:rPr>
              <w:t>40</w:t>
            </w:r>
            <w:r w:rsidRPr="008C5FDA">
              <w:rPr>
                <w:rFonts w:cs="Times New Roman" w:hint="eastAsia"/>
                <w:color w:val="000000"/>
                <w:szCs w:val="21"/>
              </w:rPr>
              <w:t>号院珠江拉维小镇</w:t>
            </w:r>
            <w:r w:rsidRPr="008C5FDA">
              <w:rPr>
                <w:rFonts w:cs="Times New Roman" w:hint="eastAsia"/>
                <w:color w:val="000000"/>
                <w:szCs w:val="21"/>
              </w:rPr>
              <w:t>31</w:t>
            </w:r>
            <w:r w:rsidRPr="008C5FDA">
              <w:rPr>
                <w:rFonts w:cs="Times New Roman" w:hint="eastAsia"/>
                <w:color w:val="000000"/>
                <w:szCs w:val="21"/>
              </w:rPr>
              <w:t>号楼</w:t>
            </w:r>
            <w:r w:rsidRPr="008C5FDA">
              <w:rPr>
                <w:rFonts w:cs="Times New Roman" w:hint="eastAsia"/>
                <w:color w:val="000000"/>
                <w:szCs w:val="21"/>
              </w:rPr>
              <w:tab/>
            </w:r>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t>注册成立日期</w:t>
            </w:r>
          </w:p>
        </w:tc>
        <w:tc>
          <w:tcPr>
            <w:tcW w:w="6287" w:type="dxa"/>
            <w:vAlign w:val="center"/>
          </w:tcPr>
          <w:p w:rsidR="00923EDA" w:rsidRPr="00923EDA" w:rsidRDefault="00923EDA" w:rsidP="00923EDA">
            <w:pPr>
              <w:rPr>
                <w:rFonts w:cs="Times New Roman"/>
                <w:color w:val="000000"/>
                <w:szCs w:val="21"/>
              </w:rPr>
            </w:pPr>
            <w:r w:rsidRPr="00923EDA">
              <w:rPr>
                <w:rFonts w:cs="Times New Roman"/>
                <w:color w:val="000000"/>
                <w:szCs w:val="21"/>
              </w:rPr>
              <w:t>1996</w:t>
            </w:r>
            <w:r w:rsidRPr="00923EDA">
              <w:rPr>
                <w:rFonts w:cs="Times New Roman"/>
                <w:color w:val="000000"/>
                <w:szCs w:val="21"/>
              </w:rPr>
              <w:t>年</w:t>
            </w:r>
            <w:r w:rsidRPr="00923EDA">
              <w:rPr>
                <w:rFonts w:cs="Times New Roman"/>
                <w:color w:val="000000"/>
                <w:szCs w:val="21"/>
              </w:rPr>
              <w:t>9</w:t>
            </w:r>
            <w:r w:rsidRPr="00923EDA">
              <w:rPr>
                <w:rFonts w:cs="Times New Roman"/>
                <w:color w:val="000000"/>
                <w:szCs w:val="21"/>
              </w:rPr>
              <w:t>月</w:t>
            </w:r>
            <w:r w:rsidRPr="00923EDA">
              <w:rPr>
                <w:rFonts w:cs="Times New Roman"/>
                <w:color w:val="000000"/>
                <w:szCs w:val="21"/>
              </w:rPr>
              <w:t>10</w:t>
            </w:r>
            <w:r w:rsidRPr="00923EDA">
              <w:rPr>
                <w:rFonts w:cs="Times New Roman"/>
                <w:color w:val="000000"/>
                <w:szCs w:val="21"/>
              </w:rPr>
              <w:t>日</w:t>
            </w:r>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t>上市时间</w:t>
            </w:r>
          </w:p>
        </w:tc>
        <w:tc>
          <w:tcPr>
            <w:tcW w:w="6287" w:type="dxa"/>
            <w:vAlign w:val="center"/>
          </w:tcPr>
          <w:p w:rsidR="00923EDA" w:rsidRPr="00923EDA" w:rsidRDefault="00923EDA" w:rsidP="00923EDA">
            <w:pPr>
              <w:rPr>
                <w:rFonts w:cs="Times New Roman"/>
                <w:color w:val="000000"/>
                <w:szCs w:val="21"/>
              </w:rPr>
            </w:pPr>
            <w:r w:rsidRPr="00923EDA">
              <w:rPr>
                <w:rFonts w:cs="Times New Roman"/>
                <w:color w:val="000000"/>
                <w:szCs w:val="21"/>
              </w:rPr>
              <w:t>1996</w:t>
            </w:r>
            <w:r w:rsidRPr="00923EDA">
              <w:rPr>
                <w:rFonts w:cs="Times New Roman"/>
                <w:color w:val="000000"/>
                <w:szCs w:val="21"/>
              </w:rPr>
              <w:t>年</w:t>
            </w:r>
            <w:r w:rsidRPr="00923EDA">
              <w:rPr>
                <w:rFonts w:cs="Times New Roman"/>
                <w:color w:val="000000"/>
                <w:szCs w:val="21"/>
              </w:rPr>
              <w:t>9</w:t>
            </w:r>
            <w:r w:rsidRPr="00923EDA">
              <w:rPr>
                <w:rFonts w:cs="Times New Roman"/>
                <w:color w:val="000000"/>
                <w:szCs w:val="21"/>
              </w:rPr>
              <w:t>月</w:t>
            </w:r>
            <w:r w:rsidRPr="00923EDA">
              <w:rPr>
                <w:rFonts w:cs="Times New Roman"/>
                <w:color w:val="000000"/>
                <w:szCs w:val="21"/>
              </w:rPr>
              <w:t>13</w:t>
            </w:r>
            <w:r w:rsidRPr="00923EDA">
              <w:rPr>
                <w:rFonts w:cs="Times New Roman"/>
                <w:color w:val="000000"/>
                <w:szCs w:val="21"/>
              </w:rPr>
              <w:t>日</w:t>
            </w:r>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t>法定代表人</w:t>
            </w:r>
          </w:p>
        </w:tc>
        <w:tc>
          <w:tcPr>
            <w:tcW w:w="6287" w:type="dxa"/>
            <w:vAlign w:val="center"/>
          </w:tcPr>
          <w:p w:rsidR="00923EDA" w:rsidRPr="00923EDA" w:rsidRDefault="00923EDA" w:rsidP="00923EDA">
            <w:pPr>
              <w:rPr>
                <w:rFonts w:cs="Times New Roman"/>
                <w:color w:val="000000"/>
                <w:szCs w:val="21"/>
              </w:rPr>
            </w:pPr>
            <w:r w:rsidRPr="00923EDA">
              <w:rPr>
                <w:rFonts w:cs="Times New Roman"/>
                <w:color w:val="000000"/>
                <w:szCs w:val="21"/>
              </w:rPr>
              <w:t>江波</w:t>
            </w:r>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t>联系电话</w:t>
            </w:r>
          </w:p>
        </w:tc>
        <w:tc>
          <w:tcPr>
            <w:tcW w:w="6287" w:type="dxa"/>
            <w:vAlign w:val="center"/>
          </w:tcPr>
          <w:p w:rsidR="00923EDA" w:rsidRPr="00923EDA" w:rsidRDefault="00923EDA" w:rsidP="00923EDA">
            <w:pPr>
              <w:rPr>
                <w:rFonts w:cs="Times New Roman"/>
                <w:color w:val="000000"/>
                <w:szCs w:val="21"/>
              </w:rPr>
            </w:pPr>
            <w:r w:rsidRPr="00923EDA">
              <w:rPr>
                <w:rFonts w:cs="Times New Roman" w:hint="eastAsia"/>
                <w:color w:val="000000"/>
                <w:szCs w:val="21"/>
              </w:rPr>
              <w:t>0</w:t>
            </w:r>
            <w:r w:rsidR="007A7844">
              <w:rPr>
                <w:rFonts w:cs="Times New Roman" w:hint="eastAsia"/>
                <w:color w:val="000000"/>
                <w:szCs w:val="21"/>
              </w:rPr>
              <w:t>10</w:t>
            </w:r>
            <w:r w:rsidRPr="00923EDA">
              <w:rPr>
                <w:rFonts w:cs="Times New Roman" w:hint="eastAsia"/>
                <w:color w:val="000000"/>
                <w:szCs w:val="21"/>
              </w:rPr>
              <w:t>-</w:t>
            </w:r>
            <w:r w:rsidR="007A7844">
              <w:rPr>
                <w:rFonts w:cs="Times New Roman" w:hint="eastAsia"/>
                <w:color w:val="000000"/>
                <w:szCs w:val="21"/>
              </w:rPr>
              <w:t>89586598</w:t>
            </w:r>
            <w:bookmarkStart w:id="0" w:name="_GoBack"/>
            <w:bookmarkEnd w:id="0"/>
          </w:p>
        </w:tc>
      </w:tr>
      <w:tr w:rsidR="00923EDA" w:rsidRPr="00923EDA" w:rsidTr="00541366">
        <w:trPr>
          <w:trHeight w:val="20"/>
          <w:jc w:val="center"/>
        </w:trPr>
        <w:tc>
          <w:tcPr>
            <w:tcW w:w="2235" w:type="dxa"/>
            <w:vAlign w:val="center"/>
          </w:tcPr>
          <w:p w:rsidR="00923EDA" w:rsidRPr="00923EDA" w:rsidRDefault="00923EDA" w:rsidP="00923EDA">
            <w:pPr>
              <w:rPr>
                <w:rFonts w:cs="Times New Roman"/>
                <w:color w:val="000000"/>
                <w:szCs w:val="21"/>
              </w:rPr>
            </w:pPr>
            <w:r w:rsidRPr="00923EDA">
              <w:rPr>
                <w:rFonts w:cs="Times New Roman"/>
                <w:color w:val="000000"/>
                <w:szCs w:val="21"/>
              </w:rPr>
              <w:t>经营范围</w:t>
            </w:r>
          </w:p>
        </w:tc>
        <w:tc>
          <w:tcPr>
            <w:tcW w:w="6287" w:type="dxa"/>
            <w:vAlign w:val="center"/>
          </w:tcPr>
          <w:p w:rsidR="00923EDA" w:rsidRPr="00923EDA" w:rsidRDefault="00923EDA" w:rsidP="00923EDA">
            <w:pPr>
              <w:rPr>
                <w:rFonts w:cs="Times New Roman"/>
                <w:color w:val="000000"/>
                <w:szCs w:val="21"/>
              </w:rPr>
            </w:pPr>
            <w:r w:rsidRPr="00923EDA">
              <w:rPr>
                <w:rFonts w:cs="Times New Roman"/>
                <w:color w:val="000000"/>
                <w:szCs w:val="21"/>
              </w:rPr>
              <w:t>工程设计；施工总承包、专业承包、劳务分包；城乡公用基础设施、水土环境治理及环保项目、供水、污水治理及再生水利用的投资；投资咨询；投资管理；技术开发；技术咨询；技术服务；技术推广；企业管理。（领取本执照后，应到市规划委、市住建委取得行政许可；企业依法自主选择经营项目，开展经营活动；依法须经批准的项目，经相关部门批准后依批准的内容开展经营活动；不得从事本市产业政策禁止和限制类项目的经营活动。）</w:t>
            </w:r>
          </w:p>
        </w:tc>
      </w:tr>
    </w:tbl>
    <w:p w:rsidR="00923EDA" w:rsidRPr="00923EDA" w:rsidRDefault="00923EDA" w:rsidP="00923EDA">
      <w:pPr>
        <w:pStyle w:val="a7"/>
        <w:spacing w:line="360" w:lineRule="auto"/>
        <w:ind w:firstLineChars="200" w:firstLine="482"/>
        <w:rPr>
          <w:b/>
          <w:sz w:val="24"/>
          <w:szCs w:val="24"/>
        </w:rPr>
      </w:pPr>
      <w:r>
        <w:rPr>
          <w:rFonts w:hint="eastAsia"/>
          <w:b/>
          <w:sz w:val="24"/>
          <w:szCs w:val="24"/>
        </w:rPr>
        <w:t>四、本次发行情况概述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235"/>
        <w:gridCol w:w="6287"/>
      </w:tblGrid>
      <w:tr w:rsidR="00923EDA" w:rsidRPr="00923EDA" w:rsidTr="00541366">
        <w:trPr>
          <w:trHeight w:val="20"/>
          <w:jc w:val="center"/>
        </w:trPr>
        <w:tc>
          <w:tcPr>
            <w:tcW w:w="2235" w:type="dxa"/>
            <w:vAlign w:val="center"/>
          </w:tcPr>
          <w:p w:rsidR="00923EDA" w:rsidRPr="00923EDA" w:rsidRDefault="00923EDA" w:rsidP="003B7C9A">
            <w:pPr>
              <w:rPr>
                <w:rFonts w:cs="Times New Roman"/>
                <w:color w:val="000000"/>
                <w:szCs w:val="21"/>
              </w:rPr>
            </w:pPr>
            <w:r w:rsidRPr="00923EDA">
              <w:rPr>
                <w:rFonts w:cs="Times New Roman"/>
                <w:color w:val="000000"/>
                <w:szCs w:val="21"/>
              </w:rPr>
              <w:t>发行</w:t>
            </w:r>
            <w:r>
              <w:rPr>
                <w:rFonts w:cs="Times New Roman" w:hint="eastAsia"/>
                <w:color w:val="000000"/>
                <w:szCs w:val="21"/>
              </w:rPr>
              <w:t>方式</w:t>
            </w:r>
          </w:p>
        </w:tc>
        <w:tc>
          <w:tcPr>
            <w:tcW w:w="6287" w:type="dxa"/>
            <w:vAlign w:val="center"/>
          </w:tcPr>
          <w:p w:rsidR="00923EDA" w:rsidRPr="00923EDA" w:rsidRDefault="00923EDA" w:rsidP="003B7C9A">
            <w:pPr>
              <w:rPr>
                <w:rFonts w:cs="Times New Roman"/>
                <w:color w:val="000000"/>
                <w:szCs w:val="21"/>
              </w:rPr>
            </w:pPr>
            <w:r>
              <w:rPr>
                <w:rFonts w:cs="Times New Roman" w:hint="eastAsia"/>
                <w:color w:val="000000"/>
                <w:szCs w:val="21"/>
              </w:rPr>
              <w:t>非公开</w:t>
            </w:r>
            <w:r>
              <w:rPr>
                <w:rFonts w:cs="Times New Roman"/>
                <w:color w:val="000000"/>
                <w:szCs w:val="21"/>
              </w:rPr>
              <w:t>发行</w:t>
            </w:r>
          </w:p>
        </w:tc>
      </w:tr>
      <w:tr w:rsidR="00923EDA" w:rsidRPr="00923EDA" w:rsidTr="00541366">
        <w:trPr>
          <w:trHeight w:val="20"/>
          <w:jc w:val="center"/>
        </w:trPr>
        <w:tc>
          <w:tcPr>
            <w:tcW w:w="2235" w:type="dxa"/>
            <w:vAlign w:val="center"/>
          </w:tcPr>
          <w:p w:rsidR="00923EDA" w:rsidRPr="00923EDA" w:rsidRDefault="00923EDA" w:rsidP="003B7C9A">
            <w:pPr>
              <w:rPr>
                <w:rFonts w:cs="Times New Roman"/>
                <w:color w:val="000000"/>
                <w:szCs w:val="21"/>
              </w:rPr>
            </w:pPr>
            <w:r>
              <w:rPr>
                <w:rFonts w:cs="Times New Roman" w:hint="eastAsia"/>
                <w:color w:val="000000"/>
                <w:szCs w:val="21"/>
              </w:rPr>
              <w:t>发行</w:t>
            </w:r>
            <w:r>
              <w:rPr>
                <w:rFonts w:cs="Times New Roman"/>
                <w:color w:val="000000"/>
                <w:szCs w:val="21"/>
              </w:rPr>
              <w:t>数量</w:t>
            </w:r>
          </w:p>
        </w:tc>
        <w:tc>
          <w:tcPr>
            <w:tcW w:w="6287" w:type="dxa"/>
            <w:vAlign w:val="center"/>
          </w:tcPr>
          <w:p w:rsidR="00923EDA" w:rsidRPr="00923EDA" w:rsidRDefault="00923EDA" w:rsidP="003B7C9A">
            <w:pPr>
              <w:rPr>
                <w:rFonts w:cs="Times New Roman"/>
                <w:color w:val="000000"/>
                <w:szCs w:val="21"/>
              </w:rPr>
            </w:pPr>
            <w:r w:rsidRPr="00923EDA">
              <w:rPr>
                <w:rFonts w:cs="Times New Roman" w:hint="eastAsia"/>
                <w:color w:val="000000"/>
                <w:szCs w:val="21"/>
              </w:rPr>
              <w:t>56,907,934</w:t>
            </w:r>
            <w:r w:rsidRPr="00923EDA">
              <w:rPr>
                <w:rFonts w:cs="Times New Roman" w:hint="eastAsia"/>
                <w:color w:val="000000"/>
                <w:szCs w:val="21"/>
              </w:rPr>
              <w:t>股</w:t>
            </w:r>
          </w:p>
        </w:tc>
      </w:tr>
      <w:tr w:rsidR="00923EDA" w:rsidRPr="00923EDA" w:rsidTr="00541366">
        <w:trPr>
          <w:trHeight w:val="20"/>
          <w:jc w:val="center"/>
        </w:trPr>
        <w:tc>
          <w:tcPr>
            <w:tcW w:w="2235" w:type="dxa"/>
            <w:vAlign w:val="center"/>
          </w:tcPr>
          <w:p w:rsidR="00923EDA" w:rsidRPr="00923EDA" w:rsidRDefault="00923EDA" w:rsidP="003B7C9A">
            <w:pPr>
              <w:rPr>
                <w:rFonts w:cs="Times New Roman"/>
                <w:color w:val="000000"/>
                <w:szCs w:val="21"/>
              </w:rPr>
            </w:pPr>
            <w:r>
              <w:rPr>
                <w:rFonts w:cs="Times New Roman" w:hint="eastAsia"/>
                <w:color w:val="000000"/>
                <w:szCs w:val="21"/>
              </w:rPr>
              <w:t>发行</w:t>
            </w:r>
            <w:r>
              <w:rPr>
                <w:rFonts w:cs="Times New Roman"/>
                <w:color w:val="000000"/>
                <w:szCs w:val="21"/>
              </w:rPr>
              <w:t>对象</w:t>
            </w:r>
          </w:p>
        </w:tc>
        <w:tc>
          <w:tcPr>
            <w:tcW w:w="6287" w:type="dxa"/>
            <w:vAlign w:val="center"/>
          </w:tcPr>
          <w:p w:rsidR="00923EDA" w:rsidRPr="00923EDA" w:rsidRDefault="008F585E" w:rsidP="003B7C9A">
            <w:pPr>
              <w:rPr>
                <w:rFonts w:cs="Times New Roman"/>
                <w:color w:val="000000"/>
                <w:szCs w:val="21"/>
              </w:rPr>
            </w:pPr>
            <w:r w:rsidRPr="008F585E">
              <w:rPr>
                <w:rFonts w:cs="Times New Roman" w:hint="eastAsia"/>
                <w:color w:val="000000"/>
                <w:szCs w:val="21"/>
              </w:rPr>
              <w:t>李华青</w:t>
            </w:r>
            <w:r>
              <w:rPr>
                <w:rFonts w:cs="Times New Roman" w:hint="eastAsia"/>
                <w:color w:val="000000"/>
                <w:szCs w:val="21"/>
              </w:rPr>
              <w:t>、</w:t>
            </w:r>
            <w:r w:rsidRPr="008F585E">
              <w:rPr>
                <w:rFonts w:cs="Times New Roman" w:hint="eastAsia"/>
                <w:color w:val="000000"/>
                <w:szCs w:val="21"/>
              </w:rPr>
              <w:t>石家庄合力投资咨询中心（有限合伙）</w:t>
            </w:r>
            <w:r>
              <w:rPr>
                <w:rFonts w:cs="Times New Roman" w:hint="eastAsia"/>
                <w:color w:val="000000"/>
                <w:szCs w:val="21"/>
              </w:rPr>
              <w:t>、</w:t>
            </w:r>
            <w:r w:rsidRPr="008F585E">
              <w:rPr>
                <w:rFonts w:cs="Times New Roman" w:hint="eastAsia"/>
                <w:color w:val="000000"/>
                <w:szCs w:val="21"/>
              </w:rPr>
              <w:t>苏州弘德源投资管理中心（有限合伙）</w:t>
            </w:r>
            <w:r>
              <w:rPr>
                <w:rFonts w:cs="Times New Roman" w:hint="eastAsia"/>
                <w:color w:val="000000"/>
                <w:szCs w:val="21"/>
              </w:rPr>
              <w:t>、</w:t>
            </w:r>
            <w:r w:rsidRPr="008F585E">
              <w:rPr>
                <w:rFonts w:cs="Times New Roman" w:hint="eastAsia"/>
                <w:color w:val="000000"/>
                <w:szCs w:val="21"/>
              </w:rPr>
              <w:t>西藏瑞华资本管理有限公司</w:t>
            </w:r>
            <w:r>
              <w:rPr>
                <w:rFonts w:cs="Times New Roman" w:hint="eastAsia"/>
                <w:color w:val="000000"/>
                <w:szCs w:val="21"/>
              </w:rPr>
              <w:t>、</w:t>
            </w:r>
            <w:r w:rsidRPr="008F585E">
              <w:rPr>
                <w:rFonts w:cs="Times New Roman" w:hint="eastAsia"/>
                <w:color w:val="000000"/>
                <w:szCs w:val="21"/>
              </w:rPr>
              <w:t>厦门时则股权投资管理合伙企业（有限合伙）</w:t>
            </w:r>
            <w:r>
              <w:rPr>
                <w:rFonts w:cs="Times New Roman" w:hint="eastAsia"/>
                <w:color w:val="000000"/>
                <w:szCs w:val="21"/>
              </w:rPr>
              <w:t>、</w:t>
            </w:r>
            <w:r w:rsidRPr="008F585E">
              <w:rPr>
                <w:rFonts w:cs="Times New Roman" w:hint="eastAsia"/>
                <w:color w:val="000000"/>
                <w:szCs w:val="21"/>
              </w:rPr>
              <w:t>财通基金管理的资管计划</w:t>
            </w:r>
            <w:r>
              <w:rPr>
                <w:rFonts w:cs="Times New Roman" w:hint="eastAsia"/>
                <w:color w:val="000000"/>
                <w:szCs w:val="21"/>
              </w:rPr>
              <w:t>等</w:t>
            </w:r>
          </w:p>
        </w:tc>
      </w:tr>
      <w:tr w:rsidR="006B74E6" w:rsidRPr="00923EDA" w:rsidTr="00541366">
        <w:trPr>
          <w:trHeight w:val="20"/>
          <w:jc w:val="center"/>
        </w:trPr>
        <w:tc>
          <w:tcPr>
            <w:tcW w:w="2235" w:type="dxa"/>
            <w:vAlign w:val="center"/>
          </w:tcPr>
          <w:p w:rsidR="006B74E6" w:rsidRDefault="006B74E6" w:rsidP="003B7C9A">
            <w:pPr>
              <w:rPr>
                <w:rFonts w:cs="Times New Roman"/>
                <w:color w:val="000000"/>
                <w:szCs w:val="21"/>
              </w:rPr>
            </w:pPr>
            <w:r>
              <w:rPr>
                <w:rFonts w:cs="Times New Roman" w:hint="eastAsia"/>
                <w:color w:val="000000"/>
                <w:szCs w:val="21"/>
              </w:rPr>
              <w:t>认购方式</w:t>
            </w:r>
          </w:p>
        </w:tc>
        <w:tc>
          <w:tcPr>
            <w:tcW w:w="6287" w:type="dxa"/>
            <w:vAlign w:val="center"/>
          </w:tcPr>
          <w:p w:rsidR="006B74E6" w:rsidRPr="008F585E" w:rsidRDefault="006B74E6" w:rsidP="003B7C9A">
            <w:pPr>
              <w:rPr>
                <w:rFonts w:cs="Times New Roman"/>
                <w:color w:val="000000"/>
                <w:szCs w:val="21"/>
              </w:rPr>
            </w:pPr>
            <w:r>
              <w:rPr>
                <w:rFonts w:cs="Times New Roman" w:hint="eastAsia"/>
                <w:color w:val="000000"/>
                <w:szCs w:val="21"/>
              </w:rPr>
              <w:t>股权或现金</w:t>
            </w:r>
          </w:p>
        </w:tc>
      </w:tr>
      <w:tr w:rsidR="00923EDA" w:rsidRPr="00923EDA" w:rsidTr="00541366">
        <w:trPr>
          <w:trHeight w:val="20"/>
          <w:jc w:val="center"/>
        </w:trPr>
        <w:tc>
          <w:tcPr>
            <w:tcW w:w="2235" w:type="dxa"/>
            <w:vAlign w:val="center"/>
          </w:tcPr>
          <w:p w:rsidR="00923EDA" w:rsidRPr="00923EDA" w:rsidRDefault="00923EDA" w:rsidP="003B7C9A">
            <w:pPr>
              <w:rPr>
                <w:rFonts w:cs="Times New Roman"/>
                <w:color w:val="000000"/>
                <w:szCs w:val="21"/>
              </w:rPr>
            </w:pPr>
            <w:r>
              <w:rPr>
                <w:rFonts w:cs="Times New Roman"/>
                <w:color w:val="000000"/>
                <w:szCs w:val="21"/>
              </w:rPr>
              <w:t>证券面值</w:t>
            </w:r>
          </w:p>
        </w:tc>
        <w:tc>
          <w:tcPr>
            <w:tcW w:w="6287" w:type="dxa"/>
            <w:vAlign w:val="center"/>
          </w:tcPr>
          <w:p w:rsidR="00923EDA" w:rsidRPr="00923EDA" w:rsidRDefault="00923EDA" w:rsidP="003B7C9A">
            <w:pPr>
              <w:rPr>
                <w:rFonts w:cs="Times New Roman"/>
                <w:color w:val="000000"/>
                <w:szCs w:val="21"/>
              </w:rPr>
            </w:pPr>
            <w:r>
              <w:rPr>
                <w:rFonts w:cs="Times New Roman" w:hint="eastAsia"/>
                <w:color w:val="000000"/>
                <w:szCs w:val="21"/>
              </w:rPr>
              <w:t>1</w:t>
            </w:r>
            <w:r>
              <w:rPr>
                <w:rFonts w:cs="Times New Roman"/>
                <w:color w:val="000000"/>
                <w:szCs w:val="21"/>
              </w:rPr>
              <w:t>.00</w:t>
            </w:r>
            <w:r>
              <w:rPr>
                <w:rFonts w:cs="Times New Roman"/>
                <w:color w:val="000000"/>
                <w:szCs w:val="21"/>
              </w:rPr>
              <w:t>元</w:t>
            </w:r>
          </w:p>
        </w:tc>
      </w:tr>
      <w:tr w:rsidR="00923EDA" w:rsidRPr="00923EDA" w:rsidTr="00541366">
        <w:trPr>
          <w:trHeight w:val="20"/>
          <w:jc w:val="center"/>
        </w:trPr>
        <w:tc>
          <w:tcPr>
            <w:tcW w:w="2235" w:type="dxa"/>
            <w:vAlign w:val="center"/>
          </w:tcPr>
          <w:p w:rsidR="00923EDA" w:rsidRPr="00923EDA" w:rsidRDefault="00923EDA" w:rsidP="003B7C9A">
            <w:pPr>
              <w:rPr>
                <w:rFonts w:cs="Times New Roman"/>
                <w:color w:val="000000"/>
                <w:szCs w:val="21"/>
              </w:rPr>
            </w:pPr>
            <w:r>
              <w:rPr>
                <w:rFonts w:cs="Times New Roman" w:hint="eastAsia"/>
                <w:szCs w:val="21"/>
              </w:rPr>
              <w:t>发行</w:t>
            </w:r>
            <w:r>
              <w:rPr>
                <w:rFonts w:cs="Times New Roman"/>
                <w:szCs w:val="21"/>
              </w:rPr>
              <w:t>价格</w:t>
            </w:r>
          </w:p>
        </w:tc>
        <w:tc>
          <w:tcPr>
            <w:tcW w:w="6287" w:type="dxa"/>
            <w:vAlign w:val="center"/>
          </w:tcPr>
          <w:p w:rsidR="00923EDA" w:rsidRPr="00923EDA" w:rsidRDefault="008F585E" w:rsidP="003B7C9A">
            <w:pPr>
              <w:rPr>
                <w:rFonts w:cs="Times New Roman"/>
                <w:color w:val="000000"/>
                <w:szCs w:val="21"/>
              </w:rPr>
            </w:pPr>
            <w:r w:rsidRPr="008F585E">
              <w:rPr>
                <w:rFonts w:cs="Times New Roman" w:hint="eastAsia"/>
                <w:color w:val="000000"/>
                <w:szCs w:val="21"/>
              </w:rPr>
              <w:t>15.75</w:t>
            </w:r>
            <w:r w:rsidRPr="008F585E">
              <w:rPr>
                <w:rFonts w:cs="Times New Roman" w:hint="eastAsia"/>
                <w:color w:val="000000"/>
                <w:szCs w:val="21"/>
              </w:rPr>
              <w:t>元</w:t>
            </w:r>
            <w:r w:rsidRPr="008F585E">
              <w:rPr>
                <w:rFonts w:cs="Times New Roman" w:hint="eastAsia"/>
                <w:color w:val="000000"/>
                <w:szCs w:val="21"/>
              </w:rPr>
              <w:t>/</w:t>
            </w:r>
            <w:r w:rsidRPr="008F585E">
              <w:rPr>
                <w:rFonts w:cs="Times New Roman" w:hint="eastAsia"/>
                <w:color w:val="000000"/>
                <w:szCs w:val="21"/>
              </w:rPr>
              <w:t>股</w:t>
            </w:r>
          </w:p>
        </w:tc>
      </w:tr>
      <w:tr w:rsidR="00923EDA" w:rsidRPr="00923EDA" w:rsidTr="00541366">
        <w:trPr>
          <w:trHeight w:val="20"/>
          <w:jc w:val="center"/>
        </w:trPr>
        <w:tc>
          <w:tcPr>
            <w:tcW w:w="2235" w:type="dxa"/>
            <w:vAlign w:val="center"/>
          </w:tcPr>
          <w:p w:rsidR="00923EDA" w:rsidRPr="00923EDA" w:rsidRDefault="00923EDA" w:rsidP="003B7C9A">
            <w:pPr>
              <w:rPr>
                <w:rFonts w:cs="Times New Roman"/>
                <w:color w:val="000000"/>
                <w:szCs w:val="21"/>
              </w:rPr>
            </w:pPr>
            <w:r>
              <w:rPr>
                <w:rFonts w:cs="Times New Roman" w:hint="eastAsia"/>
                <w:color w:val="000000"/>
                <w:szCs w:val="21"/>
              </w:rPr>
              <w:t>上市</w:t>
            </w:r>
            <w:r>
              <w:rPr>
                <w:rFonts w:cs="Times New Roman"/>
                <w:color w:val="000000"/>
                <w:szCs w:val="21"/>
              </w:rPr>
              <w:t>日期</w:t>
            </w:r>
          </w:p>
        </w:tc>
        <w:tc>
          <w:tcPr>
            <w:tcW w:w="6287" w:type="dxa"/>
            <w:vAlign w:val="center"/>
          </w:tcPr>
          <w:p w:rsidR="00923EDA" w:rsidRPr="00923EDA" w:rsidRDefault="008F585E" w:rsidP="003B7C9A">
            <w:pPr>
              <w:rPr>
                <w:rFonts w:cs="Times New Roman"/>
                <w:color w:val="000000"/>
                <w:szCs w:val="21"/>
              </w:rPr>
            </w:pPr>
            <w:r w:rsidRPr="008F585E">
              <w:rPr>
                <w:rFonts w:cs="Times New Roman" w:hint="eastAsia"/>
                <w:color w:val="000000"/>
                <w:szCs w:val="21"/>
              </w:rPr>
              <w:t>2017</w:t>
            </w:r>
            <w:r w:rsidRPr="008F585E">
              <w:rPr>
                <w:rFonts w:cs="Times New Roman" w:hint="eastAsia"/>
                <w:color w:val="000000"/>
                <w:szCs w:val="21"/>
              </w:rPr>
              <w:t>年</w:t>
            </w:r>
            <w:r w:rsidRPr="008F585E">
              <w:rPr>
                <w:rFonts w:cs="Times New Roman" w:hint="eastAsia"/>
                <w:color w:val="000000"/>
                <w:szCs w:val="21"/>
              </w:rPr>
              <w:t>2</w:t>
            </w:r>
            <w:r w:rsidRPr="008F585E">
              <w:rPr>
                <w:rFonts w:cs="Times New Roman" w:hint="eastAsia"/>
                <w:color w:val="000000"/>
                <w:szCs w:val="21"/>
              </w:rPr>
              <w:t>月</w:t>
            </w:r>
            <w:r w:rsidRPr="008F585E">
              <w:rPr>
                <w:rFonts w:cs="Times New Roman" w:hint="eastAsia"/>
                <w:color w:val="000000"/>
                <w:szCs w:val="21"/>
              </w:rPr>
              <w:t>8</w:t>
            </w:r>
            <w:r w:rsidRPr="008F585E">
              <w:rPr>
                <w:rFonts w:cs="Times New Roman" w:hint="eastAsia"/>
                <w:color w:val="000000"/>
                <w:szCs w:val="21"/>
              </w:rPr>
              <w:t>日</w:t>
            </w:r>
          </w:p>
        </w:tc>
      </w:tr>
      <w:tr w:rsidR="00923EDA" w:rsidRPr="00923EDA" w:rsidTr="00541366">
        <w:trPr>
          <w:trHeight w:val="20"/>
          <w:jc w:val="center"/>
        </w:trPr>
        <w:tc>
          <w:tcPr>
            <w:tcW w:w="2235" w:type="dxa"/>
            <w:vAlign w:val="center"/>
          </w:tcPr>
          <w:p w:rsidR="00923EDA" w:rsidRPr="00923EDA" w:rsidRDefault="00923EDA" w:rsidP="003B7C9A">
            <w:pPr>
              <w:rPr>
                <w:rFonts w:cs="Times New Roman"/>
                <w:color w:val="000000"/>
                <w:szCs w:val="21"/>
              </w:rPr>
            </w:pPr>
            <w:r>
              <w:rPr>
                <w:rFonts w:cs="Times New Roman" w:hint="eastAsia"/>
                <w:color w:val="000000"/>
                <w:szCs w:val="21"/>
              </w:rPr>
              <w:t>上市</w:t>
            </w:r>
            <w:r>
              <w:rPr>
                <w:rFonts w:cs="Times New Roman"/>
                <w:color w:val="000000"/>
                <w:szCs w:val="21"/>
              </w:rPr>
              <w:t>地点</w:t>
            </w:r>
          </w:p>
        </w:tc>
        <w:tc>
          <w:tcPr>
            <w:tcW w:w="6287" w:type="dxa"/>
            <w:vAlign w:val="center"/>
          </w:tcPr>
          <w:p w:rsidR="00923EDA" w:rsidRPr="00923EDA" w:rsidRDefault="008C5FDA" w:rsidP="003B7C9A">
            <w:pPr>
              <w:rPr>
                <w:rFonts w:cs="Times New Roman"/>
                <w:color w:val="000000"/>
                <w:szCs w:val="21"/>
              </w:rPr>
            </w:pPr>
            <w:r>
              <w:rPr>
                <w:rFonts w:cs="Times New Roman" w:hint="eastAsia"/>
                <w:color w:val="000000"/>
                <w:szCs w:val="21"/>
              </w:rPr>
              <w:t>深圳证券交易所</w:t>
            </w:r>
          </w:p>
        </w:tc>
      </w:tr>
      <w:tr w:rsidR="00923EDA" w:rsidRPr="00923EDA" w:rsidTr="00541366">
        <w:trPr>
          <w:trHeight w:val="20"/>
          <w:jc w:val="center"/>
        </w:trPr>
        <w:tc>
          <w:tcPr>
            <w:tcW w:w="2235" w:type="dxa"/>
            <w:vAlign w:val="center"/>
          </w:tcPr>
          <w:p w:rsidR="00923EDA" w:rsidRPr="00923EDA" w:rsidRDefault="00923EDA" w:rsidP="003B7C9A">
            <w:pPr>
              <w:rPr>
                <w:rFonts w:cs="Times New Roman"/>
                <w:color w:val="000000"/>
                <w:szCs w:val="21"/>
              </w:rPr>
            </w:pPr>
            <w:r>
              <w:rPr>
                <w:rFonts w:cs="Times New Roman" w:hint="eastAsia"/>
                <w:color w:val="000000"/>
                <w:szCs w:val="21"/>
              </w:rPr>
              <w:t>募集</w:t>
            </w:r>
            <w:r>
              <w:rPr>
                <w:rFonts w:cs="Times New Roman"/>
                <w:color w:val="000000"/>
                <w:szCs w:val="21"/>
              </w:rPr>
              <w:t>资金总额</w:t>
            </w:r>
          </w:p>
        </w:tc>
        <w:tc>
          <w:tcPr>
            <w:tcW w:w="6287" w:type="dxa"/>
            <w:vAlign w:val="center"/>
          </w:tcPr>
          <w:p w:rsidR="00923EDA" w:rsidRPr="00923EDA" w:rsidRDefault="008F585E" w:rsidP="003B7C9A">
            <w:pPr>
              <w:rPr>
                <w:rFonts w:cs="Times New Roman"/>
                <w:color w:val="000000"/>
                <w:szCs w:val="21"/>
              </w:rPr>
            </w:pPr>
            <w:r w:rsidRPr="008F585E">
              <w:rPr>
                <w:rFonts w:cs="Times New Roman" w:hint="eastAsia"/>
                <w:color w:val="000000"/>
                <w:szCs w:val="21"/>
              </w:rPr>
              <w:t>896,299,968.75</w:t>
            </w:r>
            <w:r w:rsidRPr="008F585E">
              <w:rPr>
                <w:rFonts w:cs="Times New Roman" w:hint="eastAsia"/>
                <w:color w:val="000000"/>
                <w:szCs w:val="21"/>
              </w:rPr>
              <w:t>元</w:t>
            </w:r>
          </w:p>
        </w:tc>
      </w:tr>
      <w:tr w:rsidR="008F585E" w:rsidRPr="00923EDA" w:rsidTr="00541366">
        <w:trPr>
          <w:trHeight w:val="20"/>
          <w:jc w:val="center"/>
        </w:trPr>
        <w:tc>
          <w:tcPr>
            <w:tcW w:w="2235" w:type="dxa"/>
            <w:vAlign w:val="center"/>
          </w:tcPr>
          <w:p w:rsidR="008F585E" w:rsidRDefault="008F585E" w:rsidP="003B7C9A">
            <w:pPr>
              <w:rPr>
                <w:rFonts w:cs="Times New Roman"/>
                <w:color w:val="000000"/>
                <w:szCs w:val="21"/>
              </w:rPr>
            </w:pPr>
            <w:r>
              <w:rPr>
                <w:rFonts w:cs="Times New Roman" w:hint="eastAsia"/>
                <w:color w:val="000000"/>
                <w:szCs w:val="21"/>
              </w:rPr>
              <w:t>募集资金净额</w:t>
            </w:r>
          </w:p>
        </w:tc>
        <w:tc>
          <w:tcPr>
            <w:tcW w:w="6287" w:type="dxa"/>
            <w:vAlign w:val="center"/>
          </w:tcPr>
          <w:p w:rsidR="008F585E" w:rsidRPr="008F585E" w:rsidRDefault="008F585E" w:rsidP="003B7C9A">
            <w:pPr>
              <w:rPr>
                <w:rFonts w:cs="Times New Roman"/>
                <w:color w:val="000000"/>
                <w:szCs w:val="21"/>
              </w:rPr>
            </w:pPr>
            <w:r w:rsidRPr="008F585E">
              <w:rPr>
                <w:rFonts w:cs="Times New Roman" w:hint="eastAsia"/>
                <w:color w:val="000000"/>
                <w:szCs w:val="21"/>
              </w:rPr>
              <w:t>878,581,400.00</w:t>
            </w:r>
            <w:r w:rsidRPr="008F585E">
              <w:rPr>
                <w:rFonts w:cs="Times New Roman" w:hint="eastAsia"/>
                <w:color w:val="000000"/>
                <w:szCs w:val="21"/>
              </w:rPr>
              <w:t>元</w:t>
            </w:r>
          </w:p>
        </w:tc>
      </w:tr>
      <w:tr w:rsidR="00923EDA" w:rsidRPr="00923EDA" w:rsidTr="00541366">
        <w:trPr>
          <w:trHeight w:val="20"/>
          <w:jc w:val="center"/>
        </w:trPr>
        <w:tc>
          <w:tcPr>
            <w:tcW w:w="2235" w:type="dxa"/>
            <w:vAlign w:val="center"/>
          </w:tcPr>
          <w:p w:rsidR="00923EDA" w:rsidRPr="00923EDA" w:rsidRDefault="00923EDA" w:rsidP="003B7C9A">
            <w:pPr>
              <w:rPr>
                <w:rFonts w:cs="Times New Roman"/>
                <w:color w:val="000000"/>
                <w:szCs w:val="21"/>
              </w:rPr>
            </w:pPr>
            <w:r>
              <w:rPr>
                <w:rFonts w:cs="Times New Roman" w:hint="eastAsia"/>
                <w:color w:val="000000"/>
                <w:szCs w:val="21"/>
              </w:rPr>
              <w:t>募集</w:t>
            </w:r>
            <w:r>
              <w:rPr>
                <w:rFonts w:cs="Times New Roman"/>
                <w:color w:val="000000"/>
                <w:szCs w:val="21"/>
              </w:rPr>
              <w:t>资金用途</w:t>
            </w:r>
          </w:p>
        </w:tc>
        <w:tc>
          <w:tcPr>
            <w:tcW w:w="6287" w:type="dxa"/>
            <w:vAlign w:val="center"/>
          </w:tcPr>
          <w:p w:rsidR="00923EDA" w:rsidRPr="00923EDA" w:rsidRDefault="008F585E" w:rsidP="003B7C9A">
            <w:pPr>
              <w:rPr>
                <w:rFonts w:cs="Times New Roman"/>
                <w:color w:val="000000"/>
                <w:szCs w:val="21"/>
              </w:rPr>
            </w:pPr>
            <w:r w:rsidRPr="008F585E">
              <w:rPr>
                <w:rFonts w:cs="Times New Roman" w:hint="eastAsia"/>
                <w:color w:val="000000"/>
                <w:szCs w:val="21"/>
              </w:rPr>
              <w:t>收购嘉诚环保</w:t>
            </w:r>
            <w:r w:rsidRPr="008F585E">
              <w:rPr>
                <w:rFonts w:cs="Times New Roman" w:hint="eastAsia"/>
                <w:color w:val="000000"/>
                <w:szCs w:val="21"/>
              </w:rPr>
              <w:t>55%</w:t>
            </w:r>
            <w:r w:rsidRPr="008F585E">
              <w:rPr>
                <w:rFonts w:cs="Times New Roman" w:hint="eastAsia"/>
                <w:color w:val="000000"/>
                <w:szCs w:val="21"/>
              </w:rPr>
              <w:t>股权</w:t>
            </w:r>
            <w:r>
              <w:rPr>
                <w:rFonts w:cs="Times New Roman" w:hint="eastAsia"/>
                <w:color w:val="000000"/>
                <w:szCs w:val="21"/>
              </w:rPr>
              <w:t>、</w:t>
            </w:r>
            <w:r w:rsidRPr="008F585E">
              <w:rPr>
                <w:rFonts w:cs="Times New Roman" w:hint="eastAsia"/>
                <w:color w:val="000000"/>
                <w:szCs w:val="21"/>
              </w:rPr>
              <w:t>偿还全资子公司滨海水业银行贷款</w:t>
            </w:r>
          </w:p>
        </w:tc>
      </w:tr>
      <w:tr w:rsidR="00923EDA" w:rsidRPr="00923EDA" w:rsidTr="00541366">
        <w:trPr>
          <w:trHeight w:val="20"/>
          <w:jc w:val="center"/>
        </w:trPr>
        <w:tc>
          <w:tcPr>
            <w:tcW w:w="2235" w:type="dxa"/>
            <w:vAlign w:val="center"/>
          </w:tcPr>
          <w:p w:rsidR="00923EDA" w:rsidRPr="00923EDA" w:rsidRDefault="00923EDA" w:rsidP="003B7C9A">
            <w:pPr>
              <w:rPr>
                <w:rFonts w:cs="Times New Roman"/>
                <w:color w:val="000000"/>
                <w:szCs w:val="21"/>
              </w:rPr>
            </w:pPr>
            <w:r>
              <w:rPr>
                <w:rFonts w:cs="Times New Roman" w:hint="eastAsia"/>
                <w:color w:val="000000"/>
                <w:szCs w:val="21"/>
              </w:rPr>
              <w:t>限售期</w:t>
            </w:r>
            <w:r>
              <w:rPr>
                <w:rFonts w:cs="Times New Roman"/>
                <w:color w:val="000000"/>
                <w:szCs w:val="21"/>
              </w:rPr>
              <w:t>安排</w:t>
            </w:r>
          </w:p>
        </w:tc>
        <w:tc>
          <w:tcPr>
            <w:tcW w:w="6287" w:type="dxa"/>
            <w:vAlign w:val="center"/>
          </w:tcPr>
          <w:p w:rsidR="00923EDA" w:rsidRPr="00923EDA" w:rsidRDefault="00923EDA" w:rsidP="008C5FDA">
            <w:pPr>
              <w:rPr>
                <w:rFonts w:cs="Times New Roman"/>
                <w:color w:val="000000"/>
                <w:szCs w:val="21"/>
              </w:rPr>
            </w:pPr>
            <w:r w:rsidRPr="00923EDA">
              <w:rPr>
                <w:rFonts w:cs="Times New Roman" w:hint="eastAsia"/>
                <w:color w:val="000000"/>
                <w:szCs w:val="21"/>
              </w:rPr>
              <w:t>本次非公开发行的股票自发行结束之日起</w:t>
            </w:r>
            <w:r w:rsidR="008C5FDA">
              <w:rPr>
                <w:rFonts w:cs="Times New Roman" w:hint="eastAsia"/>
                <w:color w:val="000000"/>
                <w:szCs w:val="21"/>
              </w:rPr>
              <w:t>3</w:t>
            </w:r>
            <w:r w:rsidR="008C5FDA">
              <w:rPr>
                <w:rFonts w:cs="Times New Roman"/>
                <w:color w:val="000000"/>
                <w:szCs w:val="21"/>
              </w:rPr>
              <w:t>6</w:t>
            </w:r>
            <w:r w:rsidR="008C5FDA">
              <w:rPr>
                <w:rFonts w:cs="Times New Roman" w:hint="eastAsia"/>
                <w:color w:val="000000"/>
                <w:szCs w:val="21"/>
              </w:rPr>
              <w:t>个月内不得上市交易或转让</w:t>
            </w:r>
          </w:p>
        </w:tc>
      </w:tr>
    </w:tbl>
    <w:p w:rsidR="00716687" w:rsidRDefault="00716687" w:rsidP="00716687">
      <w:pPr>
        <w:pStyle w:val="a7"/>
        <w:spacing w:line="360" w:lineRule="auto"/>
        <w:ind w:firstLineChars="200" w:firstLine="482"/>
        <w:rPr>
          <w:b/>
          <w:sz w:val="24"/>
          <w:szCs w:val="24"/>
        </w:rPr>
      </w:pPr>
      <w:r w:rsidRPr="00716687">
        <w:rPr>
          <w:rFonts w:hint="eastAsia"/>
          <w:b/>
          <w:sz w:val="24"/>
          <w:szCs w:val="24"/>
        </w:rPr>
        <w:t>五、保荐工作概述</w:t>
      </w:r>
    </w:p>
    <w:p w:rsidR="00CC6E66" w:rsidRPr="00CC6E66" w:rsidRDefault="00CC6E66" w:rsidP="00CC6E66">
      <w:pPr>
        <w:autoSpaceDE w:val="0"/>
        <w:autoSpaceDN w:val="0"/>
        <w:adjustRightInd w:val="0"/>
        <w:spacing w:line="360" w:lineRule="auto"/>
        <w:ind w:firstLineChars="200" w:firstLine="480"/>
        <w:jc w:val="left"/>
        <w:rPr>
          <w:rFonts w:cs="Times New Roman"/>
          <w:kern w:val="0"/>
          <w:sz w:val="24"/>
          <w:szCs w:val="24"/>
        </w:rPr>
      </w:pPr>
      <w:r w:rsidRPr="00CC6E66">
        <w:rPr>
          <w:rFonts w:cs="Times New Roman" w:hint="eastAsia"/>
          <w:kern w:val="0"/>
          <w:sz w:val="24"/>
          <w:szCs w:val="24"/>
        </w:rPr>
        <w:t>保荐机构根据有关法律法规、中国证监会和深圳证券交易所的规定，诚实守信、勤勉尽责，尽职推荐</w:t>
      </w:r>
      <w:r w:rsidR="00253299">
        <w:rPr>
          <w:rFonts w:cs="Times New Roman" w:hint="eastAsia"/>
          <w:kern w:val="0"/>
          <w:sz w:val="24"/>
          <w:szCs w:val="24"/>
        </w:rPr>
        <w:t>渤海股份</w:t>
      </w:r>
      <w:r w:rsidRPr="00CC6E66">
        <w:rPr>
          <w:rFonts w:cs="Times New Roman" w:hint="eastAsia"/>
          <w:kern w:val="0"/>
          <w:sz w:val="24"/>
          <w:szCs w:val="24"/>
        </w:rPr>
        <w:t>发行上市，并持续督导</w:t>
      </w:r>
      <w:r w:rsidR="00253299">
        <w:rPr>
          <w:rFonts w:cs="Times New Roman" w:hint="eastAsia"/>
          <w:kern w:val="0"/>
          <w:sz w:val="24"/>
          <w:szCs w:val="24"/>
        </w:rPr>
        <w:t>渤海股份</w:t>
      </w:r>
      <w:r w:rsidRPr="00CC6E66">
        <w:rPr>
          <w:rFonts w:cs="Times New Roman" w:hint="eastAsia"/>
          <w:kern w:val="0"/>
          <w:sz w:val="24"/>
          <w:szCs w:val="24"/>
        </w:rPr>
        <w:t>履行相关义务。</w:t>
      </w:r>
    </w:p>
    <w:p w:rsidR="00CC6E66" w:rsidRDefault="00CC6E66" w:rsidP="00CC6E66">
      <w:pPr>
        <w:autoSpaceDE w:val="0"/>
        <w:autoSpaceDN w:val="0"/>
        <w:adjustRightInd w:val="0"/>
        <w:spacing w:line="360" w:lineRule="auto"/>
        <w:ind w:firstLineChars="200" w:firstLine="480"/>
        <w:jc w:val="left"/>
        <w:rPr>
          <w:rFonts w:cs="Times New Roman"/>
          <w:kern w:val="0"/>
          <w:sz w:val="24"/>
          <w:szCs w:val="24"/>
        </w:rPr>
      </w:pPr>
      <w:r w:rsidRPr="00CC6E66">
        <w:rPr>
          <w:rFonts w:cs="Times New Roman" w:hint="eastAsia"/>
          <w:kern w:val="0"/>
          <w:sz w:val="24"/>
          <w:szCs w:val="24"/>
        </w:rPr>
        <w:t>（一）保荐机构遵守法律、行政法规和中国证监会及深圳证券交易所的相关规定，恪守业务规范和行业规范，诚实守信、勤勉尽责，对发行人及其发起人、控股股东进行尽职调查，组织编制申请文件并出具推荐文件；提交推荐文件后，</w:t>
      </w:r>
      <w:r>
        <w:rPr>
          <w:rFonts w:cs="Times New Roman" w:hint="eastAsia"/>
          <w:kern w:val="0"/>
          <w:sz w:val="24"/>
          <w:szCs w:val="24"/>
        </w:rPr>
        <w:lastRenderedPageBreak/>
        <w:t>天风</w:t>
      </w:r>
      <w:r w:rsidRPr="00CC6E66">
        <w:rPr>
          <w:rFonts w:cs="Times New Roman" w:hint="eastAsia"/>
          <w:kern w:val="0"/>
          <w:sz w:val="24"/>
          <w:szCs w:val="24"/>
        </w:rPr>
        <w:t>证券主动配合中国证监会的审核，组织发行人及其他中介机构对中国证监会的意见进行答复，按照中国证监会的要求对涉及本次证券发行上市的事项进行尽职调查或者核查，并与中国证监会进行专业沟通。最终顺利完成对公司的保荐工作。</w:t>
      </w:r>
    </w:p>
    <w:p w:rsidR="00CC6E66" w:rsidRPr="00CC6E66" w:rsidRDefault="00CC6E66" w:rsidP="00CC6E66">
      <w:pPr>
        <w:autoSpaceDE w:val="0"/>
        <w:autoSpaceDN w:val="0"/>
        <w:adjustRightInd w:val="0"/>
        <w:spacing w:line="360" w:lineRule="auto"/>
        <w:ind w:firstLineChars="200" w:firstLine="480"/>
        <w:jc w:val="left"/>
        <w:rPr>
          <w:rFonts w:cs="Times New Roman"/>
          <w:kern w:val="0"/>
          <w:sz w:val="24"/>
          <w:szCs w:val="24"/>
        </w:rPr>
      </w:pPr>
      <w:r>
        <w:rPr>
          <w:rFonts w:cs="Times New Roman" w:hint="eastAsia"/>
          <w:kern w:val="0"/>
          <w:sz w:val="24"/>
          <w:szCs w:val="24"/>
        </w:rPr>
        <w:t>（二）</w:t>
      </w:r>
      <w:r w:rsidRPr="00CC6E66">
        <w:rPr>
          <w:rFonts w:cs="Times New Roman" w:hint="eastAsia"/>
          <w:kern w:val="0"/>
          <w:sz w:val="24"/>
          <w:szCs w:val="24"/>
        </w:rPr>
        <w:t>持续督导阶段，天风证券督导发行人履行有关上市公司规范运作、信守承诺和信息披露等义务，审阅信息披露文件及向中国证监会、深圳证券交易所提交的其他文件，并承担下列工作：</w:t>
      </w:r>
    </w:p>
    <w:p w:rsidR="00CC6E66" w:rsidRPr="00CC6E66" w:rsidRDefault="00CC6E66" w:rsidP="00CC6E66">
      <w:pPr>
        <w:autoSpaceDE w:val="0"/>
        <w:autoSpaceDN w:val="0"/>
        <w:adjustRightInd w:val="0"/>
        <w:spacing w:line="120" w:lineRule="exact"/>
        <w:jc w:val="left"/>
        <w:rPr>
          <w:rFonts w:ascii="宋体" w:cs="Times New Roman"/>
          <w:kern w:val="0"/>
          <w:sz w:val="12"/>
          <w:szCs w:val="12"/>
        </w:rPr>
      </w:pPr>
    </w:p>
    <w:tbl>
      <w:tblPr>
        <w:tblW w:w="5293" w:type="pct"/>
        <w:jc w:val="center"/>
        <w:tblBorders>
          <w:top w:val="single" w:sz="2" w:space="0" w:color="auto"/>
          <w:left w:val="single" w:sz="2" w:space="0" w:color="auto"/>
          <w:bottom w:val="single" w:sz="2" w:space="0" w:color="auto"/>
          <w:right w:val="single" w:sz="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98"/>
        <w:gridCol w:w="4401"/>
      </w:tblGrid>
      <w:tr w:rsidR="00CC6E66" w:rsidRPr="00CC6E66" w:rsidTr="00CC6E66">
        <w:trPr>
          <w:jc w:val="center"/>
        </w:trPr>
        <w:tc>
          <w:tcPr>
            <w:tcW w:w="2499" w:type="pct"/>
            <w:vAlign w:val="center"/>
          </w:tcPr>
          <w:p w:rsidR="00CC6E66" w:rsidRPr="00CC6E66" w:rsidRDefault="00CC6E66" w:rsidP="00CC6E66">
            <w:pPr>
              <w:autoSpaceDE w:val="0"/>
              <w:autoSpaceDN w:val="0"/>
              <w:adjustRightInd w:val="0"/>
              <w:ind w:left="1935" w:right="1935"/>
              <w:jc w:val="center"/>
              <w:rPr>
                <w:rFonts w:cs="Times New Roman"/>
                <w:b/>
                <w:bCs/>
                <w:kern w:val="0"/>
                <w:szCs w:val="21"/>
              </w:rPr>
            </w:pPr>
            <w:r>
              <w:rPr>
                <w:rFonts w:cs="Times New Roman"/>
                <w:b/>
                <w:bCs/>
                <w:kern w:val="0"/>
                <w:szCs w:val="21"/>
              </w:rPr>
              <w:t>事项</w:t>
            </w:r>
          </w:p>
        </w:tc>
        <w:tc>
          <w:tcPr>
            <w:tcW w:w="2501" w:type="pct"/>
            <w:vAlign w:val="center"/>
          </w:tcPr>
          <w:p w:rsidR="00CC6E66" w:rsidRPr="00CC6E66" w:rsidRDefault="00CC6E66" w:rsidP="00CC6E66">
            <w:pPr>
              <w:autoSpaceDE w:val="0"/>
              <w:autoSpaceDN w:val="0"/>
              <w:adjustRightInd w:val="0"/>
              <w:ind w:left="1935" w:right="1935"/>
              <w:jc w:val="center"/>
              <w:rPr>
                <w:rFonts w:cs="Times New Roman"/>
                <w:b/>
                <w:bCs/>
                <w:kern w:val="0"/>
                <w:szCs w:val="21"/>
              </w:rPr>
            </w:pPr>
            <w:r>
              <w:rPr>
                <w:rFonts w:cs="Times New Roman" w:hint="eastAsia"/>
                <w:b/>
                <w:bCs/>
                <w:kern w:val="0"/>
                <w:szCs w:val="21"/>
              </w:rPr>
              <w:t>安排</w:t>
            </w:r>
          </w:p>
        </w:tc>
      </w:tr>
      <w:tr w:rsidR="00CC6E66" w:rsidRPr="00CC6E66" w:rsidTr="00CC6E66">
        <w:trPr>
          <w:jc w:val="center"/>
        </w:trPr>
        <w:tc>
          <w:tcPr>
            <w:tcW w:w="2499" w:type="pct"/>
            <w:vAlign w:val="center"/>
          </w:tcPr>
          <w:p w:rsidR="00CC6E66" w:rsidRPr="00CC6E66" w:rsidRDefault="00CC6E66" w:rsidP="00CC6E66">
            <w:pPr>
              <w:autoSpaceDE w:val="0"/>
              <w:autoSpaceDN w:val="0"/>
              <w:adjustRightInd w:val="0"/>
              <w:ind w:left="100" w:right="45"/>
              <w:rPr>
                <w:rFonts w:cs="Times New Roman"/>
                <w:kern w:val="0"/>
                <w:sz w:val="24"/>
                <w:szCs w:val="24"/>
              </w:rPr>
            </w:pPr>
            <w:r w:rsidRPr="00CC6E66">
              <w:rPr>
                <w:rFonts w:cs="Times New Roman"/>
                <w:kern w:val="0"/>
                <w:szCs w:val="24"/>
              </w:rPr>
              <w:t>1</w:t>
            </w:r>
            <w:r w:rsidRPr="00CC6E66">
              <w:rPr>
                <w:rFonts w:cs="Times New Roman"/>
                <w:spacing w:val="-38"/>
                <w:kern w:val="0"/>
                <w:szCs w:val="24"/>
              </w:rPr>
              <w:t>、</w:t>
            </w:r>
            <w:r w:rsidRPr="00CC6E66">
              <w:rPr>
                <w:rFonts w:cs="Times New Roman"/>
                <w:kern w:val="0"/>
                <w:szCs w:val="24"/>
              </w:rPr>
              <w:t>督导发行人有效执行并完善防止大股东</w:t>
            </w:r>
            <w:r w:rsidRPr="00CC6E66">
              <w:rPr>
                <w:rFonts w:cs="Times New Roman"/>
                <w:spacing w:val="-38"/>
                <w:kern w:val="0"/>
                <w:szCs w:val="24"/>
              </w:rPr>
              <w:t>、</w:t>
            </w:r>
            <w:r w:rsidRPr="00CC6E66">
              <w:rPr>
                <w:rFonts w:cs="Times New Roman"/>
                <w:kern w:val="0"/>
                <w:szCs w:val="24"/>
              </w:rPr>
              <w:t>其他关联方违规占用发行人资源的制度</w:t>
            </w:r>
          </w:p>
        </w:tc>
        <w:tc>
          <w:tcPr>
            <w:tcW w:w="2501" w:type="pct"/>
            <w:vAlign w:val="center"/>
          </w:tcPr>
          <w:p w:rsidR="00CC6E66" w:rsidRPr="00CC6E66" w:rsidRDefault="00CC6E66" w:rsidP="00CC6E66">
            <w:pPr>
              <w:autoSpaceDE w:val="0"/>
              <w:autoSpaceDN w:val="0"/>
              <w:adjustRightInd w:val="0"/>
              <w:ind w:left="100" w:right="47"/>
              <w:rPr>
                <w:rFonts w:cs="Times New Roman"/>
                <w:spacing w:val="1"/>
                <w:kern w:val="0"/>
                <w:szCs w:val="24"/>
              </w:rPr>
            </w:pPr>
            <w:r w:rsidRPr="00CC6E66">
              <w:rPr>
                <w:rFonts w:cs="Times New Roman"/>
                <w:spacing w:val="1"/>
                <w:kern w:val="0"/>
                <w:szCs w:val="24"/>
              </w:rPr>
              <w:t>强化发行人严格执行中国证监会有关规定的意识，认识到占用发行人资源的严重后果，完善各项管理制度和发行人决策机制。</w:t>
            </w:r>
          </w:p>
        </w:tc>
      </w:tr>
      <w:tr w:rsidR="00CC6E66" w:rsidRPr="00CC6E66" w:rsidTr="00CC6E66">
        <w:trPr>
          <w:jc w:val="center"/>
        </w:trPr>
        <w:tc>
          <w:tcPr>
            <w:tcW w:w="2499" w:type="pct"/>
            <w:vAlign w:val="center"/>
          </w:tcPr>
          <w:p w:rsidR="00CC6E66" w:rsidRPr="00CC6E66" w:rsidRDefault="00CC6E66" w:rsidP="00CC6E66">
            <w:pPr>
              <w:autoSpaceDE w:val="0"/>
              <w:autoSpaceDN w:val="0"/>
              <w:adjustRightInd w:val="0"/>
              <w:ind w:left="100" w:right="46"/>
              <w:rPr>
                <w:rFonts w:cs="Times New Roman"/>
                <w:kern w:val="0"/>
                <w:sz w:val="24"/>
                <w:szCs w:val="24"/>
              </w:rPr>
            </w:pPr>
            <w:r w:rsidRPr="00CC6E66">
              <w:rPr>
                <w:rFonts w:cs="Times New Roman"/>
                <w:spacing w:val="1"/>
                <w:kern w:val="0"/>
                <w:szCs w:val="24"/>
              </w:rPr>
              <w:t>2</w:t>
            </w:r>
            <w:r w:rsidRPr="00CC6E66">
              <w:rPr>
                <w:rFonts w:cs="Times New Roman"/>
                <w:spacing w:val="-76"/>
                <w:kern w:val="0"/>
                <w:szCs w:val="24"/>
              </w:rPr>
              <w:t>、</w:t>
            </w:r>
            <w:r w:rsidRPr="00CC6E66">
              <w:rPr>
                <w:rFonts w:cs="Times New Roman"/>
                <w:kern w:val="0"/>
                <w:szCs w:val="24"/>
              </w:rPr>
              <w:t>督导发</w:t>
            </w:r>
            <w:r w:rsidRPr="00CC6E66">
              <w:rPr>
                <w:rFonts w:cs="Times New Roman"/>
                <w:spacing w:val="-1"/>
                <w:kern w:val="0"/>
                <w:szCs w:val="24"/>
              </w:rPr>
              <w:t>行</w:t>
            </w:r>
            <w:r w:rsidRPr="00CC6E66">
              <w:rPr>
                <w:rFonts w:cs="Times New Roman"/>
                <w:kern w:val="0"/>
                <w:szCs w:val="24"/>
              </w:rPr>
              <w:t>人有效执行并完善防止高管人员利用职务之便损害发行人利益的内控制度</w:t>
            </w:r>
          </w:p>
        </w:tc>
        <w:tc>
          <w:tcPr>
            <w:tcW w:w="2501" w:type="pct"/>
            <w:vAlign w:val="center"/>
          </w:tcPr>
          <w:p w:rsidR="00CC6E66" w:rsidRPr="00CC6E66" w:rsidRDefault="00CC6E66" w:rsidP="00CC6E66">
            <w:pPr>
              <w:autoSpaceDE w:val="0"/>
              <w:autoSpaceDN w:val="0"/>
              <w:adjustRightInd w:val="0"/>
              <w:ind w:left="100" w:right="47"/>
              <w:rPr>
                <w:rFonts w:cs="Times New Roman"/>
                <w:spacing w:val="1"/>
                <w:kern w:val="0"/>
                <w:szCs w:val="24"/>
              </w:rPr>
            </w:pPr>
            <w:r w:rsidRPr="00CC6E66">
              <w:rPr>
                <w:rFonts w:cs="Times New Roman"/>
                <w:spacing w:val="1"/>
                <w:kern w:val="0"/>
                <w:szCs w:val="24"/>
              </w:rPr>
              <w:t>建立对高管人员的监管机制、督促高管人员与发行人签订承诺函、完善高管人员的激励与约束体系。</w:t>
            </w:r>
          </w:p>
        </w:tc>
      </w:tr>
      <w:tr w:rsidR="00CC6E66" w:rsidRPr="00CC6E66" w:rsidTr="00CC6E66">
        <w:trPr>
          <w:jc w:val="center"/>
        </w:trPr>
        <w:tc>
          <w:tcPr>
            <w:tcW w:w="2499" w:type="pct"/>
            <w:vAlign w:val="center"/>
          </w:tcPr>
          <w:p w:rsidR="00CC6E66" w:rsidRPr="00CC6E66" w:rsidRDefault="00CC6E66" w:rsidP="00CC6E66">
            <w:pPr>
              <w:autoSpaceDE w:val="0"/>
              <w:autoSpaceDN w:val="0"/>
              <w:adjustRightInd w:val="0"/>
              <w:ind w:left="100" w:right="46"/>
              <w:rPr>
                <w:rFonts w:cs="Times New Roman"/>
                <w:kern w:val="0"/>
                <w:sz w:val="24"/>
                <w:szCs w:val="24"/>
              </w:rPr>
            </w:pPr>
            <w:r w:rsidRPr="00CC6E66">
              <w:rPr>
                <w:rFonts w:cs="Times New Roman"/>
                <w:spacing w:val="1"/>
                <w:kern w:val="0"/>
                <w:szCs w:val="24"/>
              </w:rPr>
              <w:t>3</w:t>
            </w:r>
            <w:r w:rsidRPr="00CC6E66">
              <w:rPr>
                <w:rFonts w:cs="Times New Roman"/>
                <w:spacing w:val="-76"/>
                <w:kern w:val="0"/>
                <w:szCs w:val="24"/>
              </w:rPr>
              <w:t>、</w:t>
            </w:r>
            <w:r w:rsidRPr="00CC6E66">
              <w:rPr>
                <w:rFonts w:cs="Times New Roman"/>
                <w:kern w:val="0"/>
                <w:szCs w:val="24"/>
              </w:rPr>
              <w:t>督导发</w:t>
            </w:r>
            <w:r w:rsidRPr="00CC6E66">
              <w:rPr>
                <w:rFonts w:cs="Times New Roman"/>
                <w:spacing w:val="-1"/>
                <w:kern w:val="0"/>
                <w:szCs w:val="24"/>
              </w:rPr>
              <w:t>行</w:t>
            </w:r>
            <w:r w:rsidRPr="00CC6E66">
              <w:rPr>
                <w:rFonts w:cs="Times New Roman"/>
                <w:kern w:val="0"/>
                <w:szCs w:val="24"/>
              </w:rPr>
              <w:t>人有效执行并完善保障关联交易公允性和合规性的制度，并对关联交易发表意见</w:t>
            </w:r>
          </w:p>
        </w:tc>
        <w:tc>
          <w:tcPr>
            <w:tcW w:w="2501" w:type="pct"/>
            <w:vAlign w:val="center"/>
          </w:tcPr>
          <w:p w:rsidR="00CC6E66" w:rsidRPr="00CC6E66" w:rsidRDefault="00CC6E66" w:rsidP="00CC6E66">
            <w:pPr>
              <w:autoSpaceDE w:val="0"/>
              <w:autoSpaceDN w:val="0"/>
              <w:adjustRightInd w:val="0"/>
              <w:ind w:left="100" w:right="47"/>
              <w:rPr>
                <w:rFonts w:cs="Times New Roman"/>
                <w:spacing w:val="1"/>
                <w:kern w:val="0"/>
                <w:szCs w:val="24"/>
              </w:rPr>
            </w:pPr>
            <w:r w:rsidRPr="00CC6E66">
              <w:rPr>
                <w:rFonts w:cs="Times New Roman"/>
                <w:spacing w:val="1"/>
                <w:kern w:val="0"/>
                <w:szCs w:val="24"/>
              </w:rPr>
              <w:t>尽量减少关联交易，关联交易达到一定数额需经独立董事发表意见并经董事会</w:t>
            </w:r>
            <w:r w:rsidRPr="00CC6E66">
              <w:rPr>
                <w:rFonts w:cs="Times New Roman" w:hint="eastAsia"/>
                <w:spacing w:val="1"/>
                <w:kern w:val="0"/>
                <w:szCs w:val="24"/>
              </w:rPr>
              <w:t>（</w:t>
            </w:r>
            <w:r w:rsidRPr="00CC6E66">
              <w:rPr>
                <w:rFonts w:cs="Times New Roman"/>
                <w:spacing w:val="1"/>
                <w:kern w:val="0"/>
                <w:szCs w:val="24"/>
              </w:rPr>
              <w:t>或股东大会</w:t>
            </w:r>
            <w:r w:rsidRPr="00CC6E66">
              <w:rPr>
                <w:rFonts w:cs="Times New Roman" w:hint="eastAsia"/>
                <w:spacing w:val="1"/>
                <w:kern w:val="0"/>
                <w:szCs w:val="24"/>
              </w:rPr>
              <w:t>）</w:t>
            </w:r>
            <w:r w:rsidRPr="00CC6E66">
              <w:rPr>
                <w:rFonts w:cs="Times New Roman"/>
                <w:spacing w:val="1"/>
                <w:kern w:val="0"/>
                <w:szCs w:val="24"/>
              </w:rPr>
              <w:t>批准。</w:t>
            </w:r>
          </w:p>
        </w:tc>
      </w:tr>
      <w:tr w:rsidR="00CC6E66" w:rsidRPr="00CC6E66" w:rsidTr="00CC6E66">
        <w:trPr>
          <w:jc w:val="center"/>
        </w:trPr>
        <w:tc>
          <w:tcPr>
            <w:tcW w:w="2499" w:type="pct"/>
            <w:vAlign w:val="center"/>
          </w:tcPr>
          <w:p w:rsidR="00CC6E66" w:rsidRPr="00CC6E66" w:rsidRDefault="00CC6E66" w:rsidP="00CC6E66">
            <w:pPr>
              <w:autoSpaceDE w:val="0"/>
              <w:autoSpaceDN w:val="0"/>
              <w:adjustRightInd w:val="0"/>
              <w:ind w:left="100" w:right="45"/>
              <w:rPr>
                <w:rFonts w:cs="Times New Roman"/>
                <w:kern w:val="0"/>
                <w:sz w:val="24"/>
                <w:szCs w:val="24"/>
              </w:rPr>
            </w:pPr>
            <w:r w:rsidRPr="00CC6E66">
              <w:rPr>
                <w:rFonts w:cs="Times New Roman"/>
                <w:kern w:val="0"/>
                <w:szCs w:val="24"/>
              </w:rPr>
              <w:t>4</w:t>
            </w:r>
            <w:r w:rsidRPr="00CC6E66">
              <w:rPr>
                <w:rFonts w:cs="Times New Roman"/>
                <w:spacing w:val="-38"/>
                <w:kern w:val="0"/>
                <w:szCs w:val="24"/>
              </w:rPr>
              <w:t>、</w:t>
            </w:r>
            <w:r w:rsidRPr="00CC6E66">
              <w:rPr>
                <w:rFonts w:cs="Times New Roman"/>
                <w:kern w:val="0"/>
                <w:szCs w:val="24"/>
              </w:rPr>
              <w:t>督导发行人履行信息披露的义务</w:t>
            </w:r>
            <w:r w:rsidRPr="00CC6E66">
              <w:rPr>
                <w:rFonts w:cs="Times New Roman"/>
                <w:spacing w:val="-38"/>
                <w:kern w:val="0"/>
                <w:szCs w:val="24"/>
              </w:rPr>
              <w:t>，</w:t>
            </w:r>
            <w:r w:rsidRPr="00CC6E66">
              <w:rPr>
                <w:rFonts w:cs="Times New Roman"/>
                <w:kern w:val="0"/>
                <w:szCs w:val="24"/>
              </w:rPr>
              <w:t>审阅信息</w:t>
            </w:r>
            <w:r w:rsidRPr="00CC6E66">
              <w:rPr>
                <w:rFonts w:cs="Times New Roman"/>
                <w:spacing w:val="1"/>
                <w:kern w:val="0"/>
                <w:szCs w:val="24"/>
              </w:rPr>
              <w:t>披露文件</w:t>
            </w:r>
            <w:r w:rsidRPr="00CC6E66">
              <w:rPr>
                <w:rFonts w:cs="Times New Roman"/>
                <w:spacing w:val="2"/>
                <w:kern w:val="0"/>
                <w:szCs w:val="24"/>
              </w:rPr>
              <w:t>及</w:t>
            </w:r>
            <w:r w:rsidRPr="00CC6E66">
              <w:rPr>
                <w:rFonts w:cs="Times New Roman"/>
                <w:spacing w:val="1"/>
                <w:kern w:val="0"/>
                <w:szCs w:val="24"/>
              </w:rPr>
              <w:t>向中国证</w:t>
            </w:r>
            <w:r w:rsidRPr="00CC6E66">
              <w:rPr>
                <w:rFonts w:cs="Times New Roman"/>
                <w:spacing w:val="2"/>
                <w:kern w:val="0"/>
                <w:szCs w:val="24"/>
              </w:rPr>
              <w:t>监</w:t>
            </w:r>
            <w:r w:rsidRPr="00CC6E66">
              <w:rPr>
                <w:rFonts w:cs="Times New Roman"/>
                <w:spacing w:val="1"/>
                <w:kern w:val="0"/>
                <w:szCs w:val="24"/>
              </w:rPr>
              <w:t>会、证券</w:t>
            </w:r>
            <w:r w:rsidRPr="00CC6E66">
              <w:rPr>
                <w:rFonts w:cs="Times New Roman"/>
                <w:spacing w:val="2"/>
                <w:kern w:val="0"/>
                <w:szCs w:val="24"/>
              </w:rPr>
              <w:t>交</w:t>
            </w:r>
            <w:r w:rsidRPr="00CC6E66">
              <w:rPr>
                <w:rFonts w:cs="Times New Roman"/>
                <w:spacing w:val="1"/>
                <w:kern w:val="0"/>
                <w:szCs w:val="24"/>
              </w:rPr>
              <w:t>易所提交的</w:t>
            </w:r>
            <w:r w:rsidRPr="00CC6E66">
              <w:rPr>
                <w:rFonts w:cs="Times New Roman"/>
                <w:kern w:val="0"/>
                <w:szCs w:val="24"/>
              </w:rPr>
              <w:t>其他文件</w:t>
            </w:r>
          </w:p>
        </w:tc>
        <w:tc>
          <w:tcPr>
            <w:tcW w:w="2501" w:type="pct"/>
            <w:vAlign w:val="center"/>
          </w:tcPr>
          <w:p w:rsidR="00CC6E66" w:rsidRPr="00CC6E66" w:rsidRDefault="00CC6E66" w:rsidP="00CC6E66">
            <w:pPr>
              <w:autoSpaceDE w:val="0"/>
              <w:autoSpaceDN w:val="0"/>
              <w:adjustRightInd w:val="0"/>
              <w:ind w:left="100" w:right="47"/>
              <w:rPr>
                <w:rFonts w:cs="Times New Roman"/>
                <w:spacing w:val="1"/>
                <w:kern w:val="0"/>
                <w:szCs w:val="24"/>
              </w:rPr>
            </w:pPr>
            <w:r w:rsidRPr="00CC6E66">
              <w:rPr>
                <w:rFonts w:cs="Times New Roman"/>
                <w:spacing w:val="1"/>
                <w:kern w:val="0"/>
                <w:szCs w:val="24"/>
              </w:rPr>
              <w:t>建立发行人重大信息及时沟通渠道、督促发行人负责信息披露的人员学习有关信息披露要求和规定。</w:t>
            </w:r>
          </w:p>
        </w:tc>
      </w:tr>
      <w:tr w:rsidR="00CC6E66" w:rsidRPr="00CC6E66" w:rsidTr="00CC6E66">
        <w:trPr>
          <w:jc w:val="center"/>
        </w:trPr>
        <w:tc>
          <w:tcPr>
            <w:tcW w:w="2499" w:type="pct"/>
            <w:vAlign w:val="center"/>
          </w:tcPr>
          <w:p w:rsidR="00CC6E66" w:rsidRPr="00CC6E66" w:rsidRDefault="00CC6E66" w:rsidP="00CC6E66">
            <w:pPr>
              <w:autoSpaceDE w:val="0"/>
              <w:autoSpaceDN w:val="0"/>
              <w:adjustRightInd w:val="0"/>
              <w:ind w:left="100" w:right="45"/>
              <w:rPr>
                <w:rFonts w:cs="Times New Roman"/>
                <w:kern w:val="0"/>
                <w:sz w:val="24"/>
                <w:szCs w:val="24"/>
              </w:rPr>
            </w:pPr>
            <w:r w:rsidRPr="00CC6E66">
              <w:rPr>
                <w:rFonts w:cs="Times New Roman"/>
                <w:kern w:val="0"/>
                <w:szCs w:val="24"/>
              </w:rPr>
              <w:t>5</w:t>
            </w:r>
            <w:r w:rsidRPr="00CC6E66">
              <w:rPr>
                <w:rFonts w:cs="Times New Roman"/>
                <w:spacing w:val="-38"/>
                <w:kern w:val="0"/>
                <w:szCs w:val="24"/>
              </w:rPr>
              <w:t>、</w:t>
            </w:r>
            <w:r w:rsidRPr="00CC6E66">
              <w:rPr>
                <w:rFonts w:cs="Times New Roman"/>
                <w:kern w:val="0"/>
                <w:szCs w:val="24"/>
              </w:rPr>
              <w:t>持续关注发行人募集资金的使用</w:t>
            </w:r>
            <w:r w:rsidRPr="00CC6E66">
              <w:rPr>
                <w:rFonts w:cs="Times New Roman"/>
                <w:spacing w:val="-38"/>
                <w:kern w:val="0"/>
                <w:szCs w:val="24"/>
              </w:rPr>
              <w:t>、</w:t>
            </w:r>
            <w:r w:rsidRPr="00CC6E66">
              <w:rPr>
                <w:rFonts w:cs="Times New Roman"/>
                <w:kern w:val="0"/>
                <w:szCs w:val="24"/>
              </w:rPr>
              <w:t>投资项目的实施等承诺事项</w:t>
            </w:r>
          </w:p>
        </w:tc>
        <w:tc>
          <w:tcPr>
            <w:tcW w:w="2501" w:type="pct"/>
            <w:vAlign w:val="center"/>
          </w:tcPr>
          <w:p w:rsidR="00CC6E66" w:rsidRPr="00CC6E66" w:rsidRDefault="00CC6E66" w:rsidP="00CC6E66">
            <w:pPr>
              <w:autoSpaceDE w:val="0"/>
              <w:autoSpaceDN w:val="0"/>
              <w:adjustRightInd w:val="0"/>
              <w:ind w:left="100" w:right="47"/>
              <w:rPr>
                <w:rFonts w:cs="Times New Roman"/>
                <w:kern w:val="0"/>
                <w:sz w:val="24"/>
                <w:szCs w:val="24"/>
              </w:rPr>
            </w:pPr>
            <w:r w:rsidRPr="00CC6E66">
              <w:rPr>
                <w:rFonts w:cs="Times New Roman"/>
                <w:spacing w:val="1"/>
                <w:kern w:val="0"/>
                <w:szCs w:val="24"/>
              </w:rPr>
              <w:t>保荐人将</w:t>
            </w:r>
            <w:r w:rsidRPr="00CC6E66">
              <w:rPr>
                <w:rFonts w:cs="Times New Roman"/>
                <w:spacing w:val="2"/>
                <w:kern w:val="0"/>
                <w:szCs w:val="24"/>
              </w:rPr>
              <w:t>根</w:t>
            </w:r>
            <w:r w:rsidRPr="00CC6E66">
              <w:rPr>
                <w:rFonts w:cs="Times New Roman"/>
                <w:spacing w:val="1"/>
                <w:kern w:val="0"/>
                <w:szCs w:val="24"/>
              </w:rPr>
              <w:t>据上市保</w:t>
            </w:r>
            <w:r w:rsidRPr="00CC6E66">
              <w:rPr>
                <w:rFonts w:cs="Times New Roman"/>
                <w:spacing w:val="2"/>
                <w:kern w:val="0"/>
                <w:szCs w:val="24"/>
              </w:rPr>
              <w:t>荐</w:t>
            </w:r>
            <w:r w:rsidRPr="00CC6E66">
              <w:rPr>
                <w:rFonts w:cs="Times New Roman"/>
                <w:spacing w:val="1"/>
                <w:kern w:val="0"/>
                <w:szCs w:val="24"/>
              </w:rPr>
              <w:t>制度的有</w:t>
            </w:r>
            <w:r w:rsidRPr="00CC6E66">
              <w:rPr>
                <w:rFonts w:cs="Times New Roman"/>
                <w:spacing w:val="2"/>
                <w:kern w:val="0"/>
                <w:szCs w:val="24"/>
              </w:rPr>
              <w:t>关</w:t>
            </w:r>
            <w:r w:rsidRPr="00CC6E66">
              <w:rPr>
                <w:rFonts w:cs="Times New Roman"/>
                <w:spacing w:val="1"/>
                <w:kern w:val="0"/>
                <w:szCs w:val="24"/>
              </w:rPr>
              <w:t>规定，持续关注发行</w:t>
            </w:r>
            <w:r w:rsidRPr="00CC6E66">
              <w:rPr>
                <w:rFonts w:cs="Times New Roman"/>
                <w:spacing w:val="2"/>
                <w:kern w:val="0"/>
                <w:szCs w:val="24"/>
              </w:rPr>
              <w:t>人</w:t>
            </w:r>
            <w:r w:rsidRPr="00CC6E66">
              <w:rPr>
                <w:rFonts w:cs="Times New Roman"/>
                <w:spacing w:val="1"/>
                <w:kern w:val="0"/>
                <w:szCs w:val="24"/>
              </w:rPr>
              <w:t>募集资金</w:t>
            </w:r>
            <w:r w:rsidRPr="00CC6E66">
              <w:rPr>
                <w:rFonts w:cs="Times New Roman"/>
                <w:spacing w:val="2"/>
                <w:kern w:val="0"/>
                <w:szCs w:val="24"/>
              </w:rPr>
              <w:t>的</w:t>
            </w:r>
            <w:r w:rsidRPr="00CC6E66">
              <w:rPr>
                <w:rFonts w:cs="Times New Roman"/>
                <w:spacing w:val="1"/>
                <w:kern w:val="0"/>
                <w:szCs w:val="24"/>
              </w:rPr>
              <w:t>使用、投</w:t>
            </w:r>
            <w:r w:rsidRPr="00CC6E66">
              <w:rPr>
                <w:rFonts w:cs="Times New Roman"/>
                <w:spacing w:val="2"/>
                <w:kern w:val="0"/>
                <w:szCs w:val="24"/>
              </w:rPr>
              <w:t>资</w:t>
            </w:r>
            <w:r w:rsidRPr="00CC6E66">
              <w:rPr>
                <w:rFonts w:cs="Times New Roman"/>
                <w:spacing w:val="1"/>
                <w:kern w:val="0"/>
                <w:szCs w:val="24"/>
              </w:rPr>
              <w:t>项目的实施等情况，</w:t>
            </w:r>
            <w:r w:rsidRPr="00CC6E66">
              <w:rPr>
                <w:rFonts w:cs="Times New Roman"/>
                <w:spacing w:val="2"/>
                <w:kern w:val="0"/>
                <w:szCs w:val="24"/>
              </w:rPr>
              <w:t>并</w:t>
            </w:r>
            <w:r w:rsidRPr="00CC6E66">
              <w:rPr>
                <w:rFonts w:cs="Times New Roman"/>
                <w:spacing w:val="1"/>
                <w:kern w:val="0"/>
                <w:szCs w:val="24"/>
              </w:rPr>
              <w:t>定期检查</w:t>
            </w:r>
            <w:r w:rsidRPr="00CC6E66">
              <w:rPr>
                <w:rFonts w:cs="Times New Roman"/>
                <w:spacing w:val="2"/>
                <w:kern w:val="0"/>
                <w:szCs w:val="24"/>
              </w:rPr>
              <w:t>，</w:t>
            </w:r>
            <w:r w:rsidRPr="00CC6E66">
              <w:rPr>
                <w:rFonts w:cs="Times New Roman"/>
                <w:spacing w:val="1"/>
                <w:kern w:val="0"/>
                <w:szCs w:val="24"/>
              </w:rPr>
              <w:t>督促发行</w:t>
            </w:r>
            <w:r w:rsidRPr="00CC6E66">
              <w:rPr>
                <w:rFonts w:cs="Times New Roman"/>
                <w:spacing w:val="2"/>
                <w:kern w:val="0"/>
                <w:szCs w:val="24"/>
              </w:rPr>
              <w:t>人</w:t>
            </w:r>
            <w:r w:rsidRPr="00CC6E66">
              <w:rPr>
                <w:rFonts w:cs="Times New Roman"/>
                <w:spacing w:val="1"/>
                <w:kern w:val="0"/>
                <w:szCs w:val="24"/>
              </w:rPr>
              <w:t>合规、有效</w:t>
            </w:r>
            <w:r w:rsidRPr="00CC6E66">
              <w:rPr>
                <w:rFonts w:cs="Times New Roman"/>
                <w:kern w:val="0"/>
                <w:szCs w:val="24"/>
              </w:rPr>
              <w:t>地使用募集资金，切实履行各项承诺。</w:t>
            </w:r>
          </w:p>
        </w:tc>
      </w:tr>
      <w:tr w:rsidR="00CC6E66" w:rsidRPr="00CC6E66" w:rsidTr="00CC6E66">
        <w:trPr>
          <w:jc w:val="center"/>
        </w:trPr>
        <w:tc>
          <w:tcPr>
            <w:tcW w:w="2499" w:type="pct"/>
            <w:vAlign w:val="center"/>
          </w:tcPr>
          <w:p w:rsidR="00CC6E66" w:rsidRPr="00CC6E66" w:rsidRDefault="00CC6E66" w:rsidP="00CC6E66">
            <w:pPr>
              <w:autoSpaceDE w:val="0"/>
              <w:autoSpaceDN w:val="0"/>
              <w:adjustRightInd w:val="0"/>
              <w:ind w:left="100" w:right="45"/>
              <w:rPr>
                <w:rFonts w:cs="Times New Roman"/>
                <w:kern w:val="0"/>
                <w:sz w:val="24"/>
                <w:szCs w:val="24"/>
              </w:rPr>
            </w:pPr>
            <w:r w:rsidRPr="00CC6E66">
              <w:rPr>
                <w:rFonts w:cs="Times New Roman"/>
                <w:kern w:val="0"/>
                <w:szCs w:val="24"/>
              </w:rPr>
              <w:t>6</w:t>
            </w:r>
            <w:r w:rsidRPr="00CC6E66">
              <w:rPr>
                <w:rFonts w:cs="Times New Roman"/>
                <w:spacing w:val="-38"/>
                <w:kern w:val="0"/>
                <w:szCs w:val="24"/>
              </w:rPr>
              <w:t>、</w:t>
            </w:r>
            <w:r w:rsidRPr="00CC6E66">
              <w:rPr>
                <w:rFonts w:cs="Times New Roman"/>
                <w:kern w:val="0"/>
                <w:szCs w:val="24"/>
              </w:rPr>
              <w:t>持续关注发行人为他人提供担保等事项</w:t>
            </w:r>
            <w:r w:rsidRPr="00CC6E66">
              <w:rPr>
                <w:rFonts w:cs="Times New Roman"/>
                <w:spacing w:val="-38"/>
                <w:kern w:val="0"/>
                <w:szCs w:val="24"/>
              </w:rPr>
              <w:t>，</w:t>
            </w:r>
            <w:r w:rsidRPr="00CC6E66">
              <w:rPr>
                <w:rFonts w:cs="Times New Roman"/>
                <w:kern w:val="0"/>
                <w:szCs w:val="24"/>
              </w:rPr>
              <w:t>并发表意见</w:t>
            </w:r>
          </w:p>
        </w:tc>
        <w:tc>
          <w:tcPr>
            <w:tcW w:w="2501" w:type="pct"/>
            <w:vAlign w:val="center"/>
          </w:tcPr>
          <w:p w:rsidR="00CC6E66" w:rsidRPr="00CC6E66" w:rsidRDefault="00CC6E66" w:rsidP="00CC6E66">
            <w:pPr>
              <w:autoSpaceDE w:val="0"/>
              <w:autoSpaceDN w:val="0"/>
              <w:adjustRightInd w:val="0"/>
              <w:ind w:left="100" w:right="47"/>
              <w:rPr>
                <w:rFonts w:cs="Times New Roman"/>
                <w:kern w:val="0"/>
                <w:sz w:val="24"/>
                <w:szCs w:val="24"/>
              </w:rPr>
            </w:pPr>
            <w:r w:rsidRPr="00CC6E66">
              <w:rPr>
                <w:rFonts w:cs="Times New Roman"/>
                <w:spacing w:val="1"/>
                <w:kern w:val="0"/>
                <w:szCs w:val="24"/>
              </w:rPr>
              <w:t>严格按照</w:t>
            </w:r>
            <w:r w:rsidRPr="00CC6E66">
              <w:rPr>
                <w:rFonts w:cs="Times New Roman"/>
                <w:spacing w:val="2"/>
                <w:kern w:val="0"/>
                <w:szCs w:val="24"/>
              </w:rPr>
              <w:t>中</w:t>
            </w:r>
            <w:r w:rsidRPr="00CC6E66">
              <w:rPr>
                <w:rFonts w:cs="Times New Roman"/>
                <w:spacing w:val="1"/>
                <w:kern w:val="0"/>
                <w:szCs w:val="24"/>
              </w:rPr>
              <w:t>国证监会</w:t>
            </w:r>
            <w:r w:rsidRPr="00CC6E66">
              <w:rPr>
                <w:rFonts w:cs="Times New Roman"/>
                <w:spacing w:val="2"/>
                <w:kern w:val="0"/>
                <w:szCs w:val="24"/>
              </w:rPr>
              <w:t>有</w:t>
            </w:r>
            <w:r w:rsidRPr="00CC6E66">
              <w:rPr>
                <w:rFonts w:cs="Times New Roman"/>
                <w:spacing w:val="1"/>
                <w:kern w:val="0"/>
                <w:szCs w:val="24"/>
              </w:rPr>
              <w:t>关文件的</w:t>
            </w:r>
            <w:r w:rsidRPr="00CC6E66">
              <w:rPr>
                <w:rFonts w:cs="Times New Roman"/>
                <w:spacing w:val="2"/>
                <w:kern w:val="0"/>
                <w:szCs w:val="24"/>
              </w:rPr>
              <w:t>要</w:t>
            </w:r>
            <w:r w:rsidRPr="00CC6E66">
              <w:rPr>
                <w:rFonts w:cs="Times New Roman"/>
                <w:spacing w:val="1"/>
                <w:kern w:val="0"/>
                <w:szCs w:val="24"/>
              </w:rPr>
              <w:t>求规范发行人担保行</w:t>
            </w:r>
            <w:r w:rsidRPr="00CC6E66">
              <w:rPr>
                <w:rFonts w:cs="Times New Roman"/>
                <w:spacing w:val="2"/>
                <w:kern w:val="0"/>
                <w:szCs w:val="24"/>
              </w:rPr>
              <w:t>为</w:t>
            </w:r>
            <w:r w:rsidRPr="00CC6E66">
              <w:rPr>
                <w:rFonts w:cs="Times New Roman"/>
                <w:spacing w:val="1"/>
                <w:kern w:val="0"/>
                <w:szCs w:val="24"/>
              </w:rPr>
              <w:t>的决策程</w:t>
            </w:r>
            <w:r w:rsidRPr="00CC6E66">
              <w:rPr>
                <w:rFonts w:cs="Times New Roman"/>
                <w:spacing w:val="2"/>
                <w:kern w:val="0"/>
                <w:szCs w:val="24"/>
              </w:rPr>
              <w:t>序</w:t>
            </w:r>
            <w:r w:rsidRPr="00CC6E66">
              <w:rPr>
                <w:rFonts w:cs="Times New Roman"/>
                <w:spacing w:val="1"/>
                <w:kern w:val="0"/>
                <w:szCs w:val="24"/>
              </w:rPr>
              <w:t>，要求发</w:t>
            </w:r>
            <w:r w:rsidRPr="00CC6E66">
              <w:rPr>
                <w:rFonts w:cs="Times New Roman"/>
                <w:spacing w:val="2"/>
                <w:kern w:val="0"/>
                <w:szCs w:val="24"/>
              </w:rPr>
              <w:t>行</w:t>
            </w:r>
            <w:r w:rsidRPr="00CC6E66">
              <w:rPr>
                <w:rFonts w:cs="Times New Roman"/>
                <w:spacing w:val="1"/>
                <w:kern w:val="0"/>
                <w:szCs w:val="24"/>
              </w:rPr>
              <w:t>人对所有担</w:t>
            </w:r>
            <w:r w:rsidRPr="00CC6E66">
              <w:rPr>
                <w:rFonts w:cs="Times New Roman"/>
                <w:kern w:val="0"/>
                <w:szCs w:val="24"/>
              </w:rPr>
              <w:t>保行为与保荐人进行事前沟通。</w:t>
            </w:r>
          </w:p>
        </w:tc>
      </w:tr>
      <w:tr w:rsidR="00CC6E66" w:rsidRPr="00CC6E66" w:rsidTr="00CC6E66">
        <w:trPr>
          <w:jc w:val="center"/>
        </w:trPr>
        <w:tc>
          <w:tcPr>
            <w:tcW w:w="2499" w:type="pct"/>
            <w:vAlign w:val="center"/>
          </w:tcPr>
          <w:p w:rsidR="00CC6E66" w:rsidRPr="00CC6E66" w:rsidRDefault="00CC6E66" w:rsidP="00CC6E66">
            <w:pPr>
              <w:autoSpaceDE w:val="0"/>
              <w:autoSpaceDN w:val="0"/>
              <w:adjustRightInd w:val="0"/>
              <w:ind w:left="100" w:right="45"/>
              <w:rPr>
                <w:rFonts w:cs="Times New Roman"/>
                <w:kern w:val="0"/>
                <w:szCs w:val="24"/>
              </w:rPr>
            </w:pPr>
            <w:r w:rsidRPr="00CC6E66">
              <w:rPr>
                <w:rFonts w:cs="Times New Roman" w:hint="eastAsia"/>
                <w:kern w:val="0"/>
                <w:szCs w:val="24"/>
              </w:rPr>
              <w:t>7</w:t>
            </w:r>
            <w:r w:rsidRPr="00CC6E66">
              <w:rPr>
                <w:rFonts w:cs="Times New Roman" w:hint="eastAsia"/>
                <w:kern w:val="0"/>
                <w:szCs w:val="24"/>
              </w:rPr>
              <w:t>、中国证监会、证券交易所规定及保荐协议约定的其他工作</w:t>
            </w:r>
          </w:p>
        </w:tc>
        <w:tc>
          <w:tcPr>
            <w:tcW w:w="2501" w:type="pct"/>
            <w:vAlign w:val="center"/>
          </w:tcPr>
          <w:p w:rsidR="00CC6E66" w:rsidRPr="00CC6E66" w:rsidRDefault="00CC6E66" w:rsidP="00CC6E66">
            <w:pPr>
              <w:autoSpaceDE w:val="0"/>
              <w:autoSpaceDN w:val="0"/>
              <w:adjustRightInd w:val="0"/>
              <w:ind w:left="100" w:right="47"/>
              <w:rPr>
                <w:rFonts w:cs="Times New Roman"/>
                <w:spacing w:val="1"/>
                <w:kern w:val="0"/>
                <w:szCs w:val="24"/>
              </w:rPr>
            </w:pPr>
            <w:r w:rsidRPr="00CC6E66">
              <w:rPr>
                <w:rFonts w:cs="Times New Roman" w:hint="eastAsia"/>
                <w:spacing w:val="1"/>
                <w:kern w:val="0"/>
                <w:szCs w:val="24"/>
              </w:rPr>
              <w:t>根据中国证监会、深圳证券交易所有关规定以及保荐协议约定的其他工作，保荐机构将持续督导发行人规范运作</w:t>
            </w:r>
          </w:p>
        </w:tc>
      </w:tr>
    </w:tbl>
    <w:p w:rsidR="000F2851" w:rsidRPr="000F2851" w:rsidRDefault="000F2851" w:rsidP="000F2851">
      <w:pPr>
        <w:pStyle w:val="a7"/>
        <w:spacing w:line="360" w:lineRule="auto"/>
        <w:ind w:firstLineChars="200" w:firstLine="482"/>
        <w:rPr>
          <w:b/>
          <w:sz w:val="24"/>
          <w:szCs w:val="24"/>
        </w:rPr>
      </w:pPr>
      <w:r w:rsidRPr="000F2851">
        <w:rPr>
          <w:rFonts w:hint="eastAsia"/>
          <w:b/>
          <w:sz w:val="24"/>
          <w:szCs w:val="24"/>
        </w:rPr>
        <w:t>六、履行保荐职责期间发生的重大事项及处理情况</w:t>
      </w:r>
    </w:p>
    <w:p w:rsidR="000F2851" w:rsidRDefault="000F2851" w:rsidP="000F2851">
      <w:pPr>
        <w:pStyle w:val="a7"/>
        <w:spacing w:line="360" w:lineRule="auto"/>
        <w:ind w:firstLineChars="200" w:firstLine="480"/>
        <w:rPr>
          <w:rFonts w:ascii="宋体" w:hAnsi="宋体"/>
          <w:sz w:val="24"/>
          <w:szCs w:val="24"/>
        </w:rPr>
      </w:pPr>
      <w:r w:rsidRPr="000F2851">
        <w:rPr>
          <w:rFonts w:ascii="宋体" w:hAnsi="宋体" w:hint="eastAsia"/>
          <w:sz w:val="24"/>
          <w:szCs w:val="24"/>
        </w:rPr>
        <w:t>本保荐机构在履行对</w:t>
      </w:r>
      <w:r>
        <w:rPr>
          <w:rFonts w:ascii="宋体" w:hAnsi="宋体" w:hint="eastAsia"/>
          <w:sz w:val="24"/>
          <w:szCs w:val="24"/>
        </w:rPr>
        <w:t>渤海股份</w:t>
      </w:r>
      <w:r w:rsidRPr="000F2851">
        <w:rPr>
          <w:rFonts w:ascii="宋体" w:hAnsi="宋体" w:hint="eastAsia"/>
          <w:sz w:val="24"/>
          <w:szCs w:val="24"/>
        </w:rPr>
        <w:t>的保荐职责中未发生重大事项。</w:t>
      </w:r>
    </w:p>
    <w:p w:rsidR="000F2851" w:rsidRPr="00DA0C18" w:rsidRDefault="000F2851" w:rsidP="000F2851">
      <w:pPr>
        <w:pStyle w:val="a7"/>
        <w:spacing w:line="360" w:lineRule="auto"/>
        <w:ind w:firstLineChars="200" w:firstLine="482"/>
        <w:rPr>
          <w:rFonts w:ascii="宋体" w:hAnsi="宋体"/>
          <w:b/>
          <w:sz w:val="24"/>
          <w:szCs w:val="24"/>
        </w:rPr>
      </w:pPr>
      <w:r w:rsidRPr="00DA0C18">
        <w:rPr>
          <w:rFonts w:ascii="宋体" w:hAnsi="宋体" w:hint="eastAsia"/>
          <w:b/>
          <w:sz w:val="24"/>
          <w:szCs w:val="24"/>
        </w:rPr>
        <w:t>七、对发行人配合保荐工作情况的说明及评价</w:t>
      </w:r>
    </w:p>
    <w:p w:rsidR="000F2851" w:rsidRPr="003B7C9A" w:rsidRDefault="003B7C9A" w:rsidP="000F2851">
      <w:pPr>
        <w:pStyle w:val="a7"/>
        <w:spacing w:line="360" w:lineRule="auto"/>
        <w:ind w:firstLineChars="200" w:firstLine="480"/>
        <w:rPr>
          <w:rFonts w:ascii="宋体" w:hAnsi="宋体"/>
          <w:sz w:val="24"/>
          <w:szCs w:val="24"/>
        </w:rPr>
      </w:pPr>
      <w:r w:rsidRPr="003B7C9A">
        <w:rPr>
          <w:rFonts w:ascii="宋体" w:hAnsi="宋体" w:hint="eastAsia"/>
          <w:sz w:val="24"/>
          <w:szCs w:val="24"/>
        </w:rPr>
        <w:t>发行人能够按有关法律、法规及规则的要求，及时、准确地进行信息披露。对于持续督导期间的重要事项，发行人能够及时通知保荐机构并与保荐机构沟通，同时应保荐机构的要求提供相关文件和资料。发行人能够积极配合保荐机构及保荐代表人的现场检查等督导工作，为保荐工作提供了必要的便利。</w:t>
      </w:r>
    </w:p>
    <w:p w:rsidR="000F2851" w:rsidRPr="00DA0C18" w:rsidRDefault="000F2851" w:rsidP="000F2851">
      <w:pPr>
        <w:pStyle w:val="a7"/>
        <w:spacing w:line="360" w:lineRule="auto"/>
        <w:ind w:firstLineChars="200" w:firstLine="482"/>
        <w:rPr>
          <w:rFonts w:ascii="宋体" w:hAnsi="宋体"/>
          <w:b/>
          <w:sz w:val="24"/>
          <w:szCs w:val="24"/>
        </w:rPr>
      </w:pPr>
      <w:r w:rsidRPr="00DA0C18">
        <w:rPr>
          <w:rFonts w:ascii="宋体" w:hAnsi="宋体" w:hint="eastAsia"/>
          <w:b/>
          <w:sz w:val="24"/>
          <w:szCs w:val="24"/>
        </w:rPr>
        <w:lastRenderedPageBreak/>
        <w:t>八、对证券服务机构参与证券发行上市相关工作情况的说明及评价</w:t>
      </w:r>
    </w:p>
    <w:p w:rsidR="000F2851" w:rsidRPr="000F2851" w:rsidRDefault="003B7C9A" w:rsidP="000F2851">
      <w:pPr>
        <w:pStyle w:val="a7"/>
        <w:spacing w:line="360" w:lineRule="auto"/>
        <w:ind w:firstLineChars="200" w:firstLine="480"/>
        <w:rPr>
          <w:rFonts w:ascii="宋体" w:hAnsi="宋体"/>
          <w:sz w:val="24"/>
          <w:szCs w:val="24"/>
        </w:rPr>
      </w:pPr>
      <w:r w:rsidRPr="003B7C9A">
        <w:rPr>
          <w:rFonts w:ascii="宋体" w:hAnsi="宋体" w:hint="eastAsia"/>
          <w:sz w:val="24"/>
          <w:szCs w:val="24"/>
        </w:rPr>
        <w:t>公司聘请的中介机构能够积极配合公司和保荐机构持续督导相关工作，提供了必要的支持和便利。</w:t>
      </w:r>
    </w:p>
    <w:p w:rsidR="000F2851" w:rsidRPr="000F2851" w:rsidRDefault="000F2851" w:rsidP="000F2851">
      <w:pPr>
        <w:pStyle w:val="a7"/>
        <w:spacing w:line="360" w:lineRule="auto"/>
        <w:ind w:firstLineChars="200" w:firstLine="482"/>
        <w:rPr>
          <w:rFonts w:ascii="宋体" w:hAnsi="宋体"/>
          <w:b/>
          <w:sz w:val="24"/>
          <w:szCs w:val="24"/>
        </w:rPr>
      </w:pPr>
      <w:r w:rsidRPr="000F2851">
        <w:rPr>
          <w:rFonts w:ascii="宋体" w:hAnsi="宋体" w:hint="eastAsia"/>
          <w:b/>
          <w:sz w:val="24"/>
          <w:szCs w:val="24"/>
        </w:rPr>
        <w:t>九、对发行人信息披露审阅的结论性意见</w:t>
      </w:r>
    </w:p>
    <w:p w:rsidR="000F2851" w:rsidRPr="000F2851" w:rsidRDefault="003B7C9A" w:rsidP="00DA0C18">
      <w:pPr>
        <w:pStyle w:val="a7"/>
        <w:spacing w:line="360" w:lineRule="auto"/>
        <w:ind w:firstLineChars="200" w:firstLine="480"/>
        <w:rPr>
          <w:rFonts w:ascii="宋体" w:hAnsi="宋体"/>
          <w:sz w:val="24"/>
          <w:szCs w:val="24"/>
        </w:rPr>
      </w:pPr>
      <w:r w:rsidRPr="003B7C9A">
        <w:rPr>
          <w:rFonts w:ascii="宋体" w:hAnsi="宋体" w:hint="eastAsia"/>
          <w:sz w:val="24"/>
          <w:szCs w:val="24"/>
        </w:rPr>
        <w:t>履职期间，保荐代表人审阅了发行人的临时公告及定期公告。保荐机构认为，在履行保荐职责期间，公司已披露的公告与实际情况一致，各期定期以及临时公告披露的内容真实、准确、完整，没有虚假记载、误导性陈述或重大遗漏，信息披露符合深圳证券交易所的有关规定。</w:t>
      </w:r>
    </w:p>
    <w:p w:rsidR="000F2851" w:rsidRPr="000F2851" w:rsidRDefault="000F2851" w:rsidP="000F2851">
      <w:pPr>
        <w:pStyle w:val="a7"/>
        <w:spacing w:line="360" w:lineRule="auto"/>
        <w:ind w:firstLineChars="200" w:firstLine="482"/>
        <w:rPr>
          <w:rFonts w:ascii="宋体" w:hAnsi="宋体"/>
          <w:b/>
          <w:sz w:val="24"/>
          <w:szCs w:val="24"/>
        </w:rPr>
      </w:pPr>
      <w:r w:rsidRPr="000F2851">
        <w:rPr>
          <w:rFonts w:ascii="宋体" w:hAnsi="宋体" w:hint="eastAsia"/>
          <w:b/>
          <w:sz w:val="24"/>
          <w:szCs w:val="24"/>
        </w:rPr>
        <w:t>十、对发行人募集资金使用审阅的结论性意见</w:t>
      </w:r>
    </w:p>
    <w:p w:rsidR="000F2851" w:rsidRDefault="000F2851" w:rsidP="000F2851">
      <w:pPr>
        <w:pStyle w:val="a7"/>
        <w:spacing w:line="360" w:lineRule="auto"/>
        <w:ind w:firstLineChars="200" w:firstLine="480"/>
        <w:rPr>
          <w:rFonts w:ascii="宋体" w:hAnsi="宋体"/>
          <w:sz w:val="24"/>
          <w:szCs w:val="24"/>
        </w:rPr>
      </w:pPr>
      <w:r w:rsidRPr="000F2851">
        <w:rPr>
          <w:rFonts w:ascii="宋体" w:hAnsi="宋体" w:hint="eastAsia"/>
          <w:sz w:val="24"/>
          <w:szCs w:val="24"/>
        </w:rPr>
        <w:t>保荐机构通过访谈沟通、审阅相关资料、现场检查等多种方式，对持续督导期内公司募集资金的存放、使用情况进行了核查。</w:t>
      </w:r>
    </w:p>
    <w:p w:rsidR="000F2851" w:rsidRPr="000F2851" w:rsidRDefault="000F2851" w:rsidP="000F2851">
      <w:pPr>
        <w:pStyle w:val="a7"/>
        <w:spacing w:line="360" w:lineRule="auto"/>
        <w:ind w:firstLineChars="200" w:firstLine="480"/>
        <w:rPr>
          <w:rFonts w:ascii="宋体" w:hAnsi="宋体"/>
          <w:sz w:val="24"/>
          <w:szCs w:val="24"/>
        </w:rPr>
      </w:pPr>
      <w:r w:rsidRPr="000F2851">
        <w:rPr>
          <w:rFonts w:ascii="宋体" w:hAnsi="宋体" w:hint="eastAsia"/>
          <w:sz w:val="24"/>
          <w:szCs w:val="24"/>
        </w:rPr>
        <w:t>经核查，保荐机构认为，公司募集资金的存放和使用符合《上市公司监管指引第2号——上市公司募集资金管理和使用的监管要求》、《深圳证券交易所股票上市规则》、《深圳证券交易所主板上市公司规范运作指引》等文件的规定，公司对募集资金进行了专户存储和专项使用，严格遵守募集资金三方</w:t>
      </w:r>
      <w:r w:rsidR="003B7C9A">
        <w:rPr>
          <w:rFonts w:ascii="宋体" w:hAnsi="宋体" w:hint="eastAsia"/>
          <w:sz w:val="24"/>
          <w:szCs w:val="24"/>
        </w:rPr>
        <w:t>监管协议和募集资金四方</w:t>
      </w:r>
      <w:r w:rsidRPr="000F2851">
        <w:rPr>
          <w:rFonts w:ascii="宋体" w:hAnsi="宋体" w:hint="eastAsia"/>
          <w:sz w:val="24"/>
          <w:szCs w:val="24"/>
        </w:rPr>
        <w:t>监管协议，并及时履行了相关信息披露义务，不存在变相改变募集资金用途和损害股东利益的情况，不存在违规使用募集资金的情形。</w:t>
      </w:r>
    </w:p>
    <w:p w:rsidR="000F2851" w:rsidRPr="000F2851" w:rsidRDefault="000F2851" w:rsidP="000F2851">
      <w:pPr>
        <w:pStyle w:val="a7"/>
        <w:spacing w:line="360" w:lineRule="auto"/>
        <w:ind w:firstLineChars="200" w:firstLine="482"/>
        <w:rPr>
          <w:rFonts w:ascii="宋体" w:hAnsi="宋体"/>
          <w:b/>
          <w:sz w:val="24"/>
          <w:szCs w:val="24"/>
        </w:rPr>
      </w:pPr>
      <w:r w:rsidRPr="000F2851">
        <w:rPr>
          <w:rFonts w:ascii="宋体" w:hAnsi="宋体" w:hint="eastAsia"/>
          <w:b/>
          <w:sz w:val="24"/>
          <w:szCs w:val="24"/>
        </w:rPr>
        <w:t>十一、中国证监会和证券交易所要求的其他事项</w:t>
      </w:r>
    </w:p>
    <w:p w:rsidR="000F2851" w:rsidRPr="000F2851" w:rsidRDefault="000F2851" w:rsidP="000F2851">
      <w:pPr>
        <w:pStyle w:val="a7"/>
        <w:spacing w:line="360" w:lineRule="auto"/>
        <w:ind w:firstLineChars="200" w:firstLine="480"/>
        <w:rPr>
          <w:rFonts w:ascii="宋体" w:hAnsi="宋体"/>
          <w:sz w:val="24"/>
          <w:szCs w:val="24"/>
        </w:rPr>
      </w:pPr>
      <w:r w:rsidRPr="000F2851">
        <w:rPr>
          <w:rFonts w:ascii="宋体" w:hAnsi="宋体" w:hint="eastAsia"/>
          <w:sz w:val="24"/>
          <w:szCs w:val="24"/>
        </w:rPr>
        <w:t>截至2018年12月31日，</w:t>
      </w:r>
      <w:r>
        <w:rPr>
          <w:rFonts w:ascii="宋体" w:hAnsi="宋体" w:hint="eastAsia"/>
          <w:sz w:val="24"/>
          <w:szCs w:val="24"/>
        </w:rPr>
        <w:t>渤海股份</w:t>
      </w:r>
      <w:r w:rsidRPr="000F2851">
        <w:rPr>
          <w:rFonts w:ascii="宋体" w:hAnsi="宋体" w:hint="eastAsia"/>
          <w:sz w:val="24"/>
          <w:szCs w:val="24"/>
        </w:rPr>
        <w:t>201</w:t>
      </w:r>
      <w:r w:rsidR="009C3068">
        <w:rPr>
          <w:rFonts w:ascii="宋体" w:hAnsi="宋体"/>
          <w:sz w:val="24"/>
          <w:szCs w:val="24"/>
        </w:rPr>
        <w:t>6</w:t>
      </w:r>
      <w:r w:rsidRPr="000F2851">
        <w:rPr>
          <w:rFonts w:ascii="宋体" w:hAnsi="宋体" w:hint="eastAsia"/>
          <w:sz w:val="24"/>
          <w:szCs w:val="24"/>
        </w:rPr>
        <w:t>年度非公开发行股票募集资金已使用完毕，募集资金专户已销户。</w:t>
      </w:r>
    </w:p>
    <w:p w:rsidR="00270607" w:rsidRDefault="000F2851" w:rsidP="000F2851">
      <w:pPr>
        <w:pStyle w:val="a7"/>
        <w:spacing w:line="360" w:lineRule="auto"/>
        <w:ind w:firstLineChars="200" w:firstLine="480"/>
        <w:rPr>
          <w:rFonts w:ascii="宋体" w:hAnsi="宋体"/>
        </w:rPr>
      </w:pPr>
      <w:r w:rsidRPr="000F2851">
        <w:rPr>
          <w:rFonts w:ascii="宋体" w:hAnsi="宋体" w:hint="eastAsia"/>
          <w:sz w:val="24"/>
          <w:szCs w:val="24"/>
        </w:rPr>
        <w:t>除此之外，不存在中国证监会及交易所要求的其他申报事项。</w:t>
      </w:r>
      <w:r w:rsidR="00270607">
        <w:rPr>
          <w:rFonts w:ascii="宋体" w:hAnsi="宋体"/>
        </w:rPr>
        <w:br w:type="page"/>
      </w:r>
    </w:p>
    <w:p w:rsidR="00270607" w:rsidRDefault="00034027" w:rsidP="008B729F">
      <w:pPr>
        <w:spacing w:beforeLines="50" w:before="156" w:afterLines="50" w:after="156" w:line="360" w:lineRule="auto"/>
        <w:ind w:firstLineChars="200" w:firstLine="480"/>
        <w:rPr>
          <w:rFonts w:cs="Times New Roman"/>
          <w:sz w:val="24"/>
          <w:szCs w:val="24"/>
        </w:rPr>
      </w:pPr>
      <w:r>
        <w:rPr>
          <w:rFonts w:cs="Times New Roman" w:hint="eastAsia"/>
          <w:sz w:val="24"/>
          <w:szCs w:val="24"/>
        </w:rPr>
        <w:lastRenderedPageBreak/>
        <w:t>（</w:t>
      </w:r>
      <w:r w:rsidR="00270607" w:rsidRPr="00034027">
        <w:rPr>
          <w:rFonts w:cs="Times New Roman"/>
          <w:sz w:val="24"/>
          <w:szCs w:val="24"/>
        </w:rPr>
        <w:t>本页无正文，为</w:t>
      </w:r>
      <w:r>
        <w:rPr>
          <w:rFonts w:cs="Times New Roman" w:hint="eastAsia"/>
          <w:sz w:val="24"/>
          <w:szCs w:val="24"/>
        </w:rPr>
        <w:t>《</w:t>
      </w:r>
      <w:r w:rsidR="008B729F" w:rsidRPr="008B729F">
        <w:rPr>
          <w:rFonts w:cs="Times New Roman" w:hint="eastAsia"/>
          <w:sz w:val="24"/>
          <w:szCs w:val="24"/>
        </w:rPr>
        <w:t>天风证券股份有限公司关于渤海水业股份有限公司非公开发行</w:t>
      </w:r>
      <w:r w:rsidR="008B729F" w:rsidRPr="008B729F">
        <w:rPr>
          <w:rFonts w:cs="Times New Roman" w:hint="eastAsia"/>
          <w:sz w:val="24"/>
          <w:szCs w:val="24"/>
        </w:rPr>
        <w:t>A</w:t>
      </w:r>
      <w:r w:rsidR="008B729F" w:rsidRPr="008B729F">
        <w:rPr>
          <w:rFonts w:cs="Times New Roman" w:hint="eastAsia"/>
          <w:sz w:val="24"/>
          <w:szCs w:val="24"/>
        </w:rPr>
        <w:t>股股票持续督导保荐总结报告书</w:t>
      </w:r>
      <w:r>
        <w:rPr>
          <w:rFonts w:cs="Times New Roman" w:hint="eastAsia"/>
          <w:sz w:val="24"/>
          <w:szCs w:val="24"/>
        </w:rPr>
        <w:t>》</w:t>
      </w:r>
      <w:r>
        <w:rPr>
          <w:rFonts w:cs="Times New Roman"/>
          <w:sz w:val="24"/>
          <w:szCs w:val="24"/>
        </w:rPr>
        <w:t>之签章页</w:t>
      </w:r>
      <w:r>
        <w:rPr>
          <w:rFonts w:cs="Times New Roman" w:hint="eastAsia"/>
          <w:sz w:val="24"/>
          <w:szCs w:val="24"/>
        </w:rPr>
        <w:t>）</w:t>
      </w:r>
    </w:p>
    <w:p w:rsidR="00034027" w:rsidRDefault="00034027" w:rsidP="00034027">
      <w:pPr>
        <w:spacing w:beforeLines="50" w:before="156" w:afterLines="50" w:after="156" w:line="360" w:lineRule="auto"/>
        <w:ind w:firstLineChars="200" w:firstLine="480"/>
        <w:rPr>
          <w:rFonts w:cs="Times New Roman"/>
          <w:sz w:val="24"/>
          <w:szCs w:val="24"/>
        </w:rPr>
      </w:pPr>
    </w:p>
    <w:p w:rsidR="00034027" w:rsidRDefault="00034027" w:rsidP="00034027">
      <w:pPr>
        <w:spacing w:beforeLines="50" w:before="156" w:afterLines="50" w:after="156" w:line="360" w:lineRule="auto"/>
        <w:ind w:firstLineChars="200" w:firstLine="480"/>
        <w:rPr>
          <w:rFonts w:cs="Times New Roman"/>
          <w:sz w:val="24"/>
          <w:szCs w:val="24"/>
        </w:rPr>
      </w:pPr>
    </w:p>
    <w:p w:rsidR="00034027" w:rsidRDefault="00034027" w:rsidP="00034027">
      <w:pPr>
        <w:spacing w:before="156" w:after="156"/>
        <w:ind w:firstLine="480"/>
      </w:pPr>
    </w:p>
    <w:tbl>
      <w:tblPr>
        <w:tblStyle w:val="a3"/>
        <w:tblpPr w:leftFromText="180" w:rightFromText="180" w:vertAnchor="text" w:horzAnchor="page" w:tblpX="3916" w:tblpY="19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86"/>
      </w:tblGrid>
      <w:tr w:rsidR="00DC7E84" w:rsidTr="00DC7E84">
        <w:trPr>
          <w:trHeight w:val="417"/>
        </w:trPr>
        <w:tc>
          <w:tcPr>
            <w:tcW w:w="1786" w:type="dxa"/>
          </w:tcPr>
          <w:p w:rsidR="00DC7E84" w:rsidRDefault="00DC7E84" w:rsidP="00DC7E84">
            <w:pPr>
              <w:spacing w:before="156" w:after="156"/>
              <w:rPr>
                <w:sz w:val="24"/>
                <w:szCs w:val="24"/>
              </w:rPr>
            </w:pPr>
          </w:p>
        </w:tc>
      </w:tr>
      <w:tr w:rsidR="00DC7E84" w:rsidTr="00DC7E84">
        <w:trPr>
          <w:trHeight w:val="417"/>
        </w:trPr>
        <w:tc>
          <w:tcPr>
            <w:tcW w:w="1786" w:type="dxa"/>
          </w:tcPr>
          <w:p w:rsidR="00DC7E84" w:rsidRDefault="00DC7E84" w:rsidP="00DC7E84">
            <w:pPr>
              <w:spacing w:before="156" w:after="156"/>
              <w:jc w:val="center"/>
              <w:rPr>
                <w:sz w:val="24"/>
                <w:szCs w:val="24"/>
              </w:rPr>
            </w:pPr>
            <w:r>
              <w:rPr>
                <w:sz w:val="24"/>
                <w:szCs w:val="24"/>
              </w:rPr>
              <w:t>张嘉棋</w:t>
            </w:r>
          </w:p>
        </w:tc>
      </w:tr>
    </w:tbl>
    <w:tbl>
      <w:tblPr>
        <w:tblStyle w:val="a3"/>
        <w:tblpPr w:leftFromText="180" w:rightFromText="180" w:vertAnchor="text" w:horzAnchor="page" w:tblpX="7636" w:tblpY="16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86"/>
      </w:tblGrid>
      <w:tr w:rsidR="00DC7E84" w:rsidTr="00DC7E84">
        <w:trPr>
          <w:trHeight w:val="417"/>
        </w:trPr>
        <w:tc>
          <w:tcPr>
            <w:tcW w:w="1786" w:type="dxa"/>
          </w:tcPr>
          <w:p w:rsidR="00DC7E84" w:rsidRDefault="00DC7E84" w:rsidP="00DC7E84">
            <w:pPr>
              <w:spacing w:before="156" w:after="156"/>
              <w:rPr>
                <w:sz w:val="24"/>
                <w:szCs w:val="24"/>
              </w:rPr>
            </w:pPr>
          </w:p>
        </w:tc>
      </w:tr>
      <w:tr w:rsidR="00DC7E84" w:rsidTr="00DC7E84">
        <w:trPr>
          <w:trHeight w:val="417"/>
        </w:trPr>
        <w:tc>
          <w:tcPr>
            <w:tcW w:w="1786" w:type="dxa"/>
          </w:tcPr>
          <w:p w:rsidR="00DC7E84" w:rsidRDefault="00DC7E84" w:rsidP="00DC7E84">
            <w:pPr>
              <w:spacing w:before="156" w:after="156"/>
              <w:jc w:val="center"/>
              <w:rPr>
                <w:sz w:val="24"/>
                <w:szCs w:val="24"/>
              </w:rPr>
            </w:pPr>
            <w:r>
              <w:rPr>
                <w:sz w:val="24"/>
                <w:szCs w:val="24"/>
              </w:rPr>
              <w:t>李尧</w:t>
            </w:r>
          </w:p>
        </w:tc>
      </w:tr>
    </w:tbl>
    <w:p w:rsidR="00DC7E84" w:rsidRPr="00034027" w:rsidRDefault="00034027" w:rsidP="00DC7E84">
      <w:pPr>
        <w:spacing w:before="156" w:after="156"/>
        <w:rPr>
          <w:sz w:val="24"/>
          <w:szCs w:val="24"/>
        </w:rPr>
      </w:pPr>
      <w:r w:rsidRPr="00034027">
        <w:rPr>
          <w:rFonts w:hint="eastAsia"/>
          <w:sz w:val="24"/>
          <w:szCs w:val="24"/>
        </w:rPr>
        <w:t>保荐代表人：</w:t>
      </w:r>
    </w:p>
    <w:p w:rsidR="00DC7E84" w:rsidRPr="00034027" w:rsidRDefault="00DC7E84" w:rsidP="00DC7E84">
      <w:pPr>
        <w:spacing w:before="156" w:after="156"/>
        <w:rPr>
          <w:sz w:val="24"/>
          <w:szCs w:val="24"/>
        </w:rPr>
      </w:pPr>
    </w:p>
    <w:p w:rsidR="006F58F5" w:rsidRPr="00034027" w:rsidRDefault="006F58F5" w:rsidP="00DC7E84">
      <w:pPr>
        <w:spacing w:before="156" w:after="156"/>
        <w:rPr>
          <w:sz w:val="24"/>
          <w:szCs w:val="24"/>
        </w:rPr>
      </w:pPr>
    </w:p>
    <w:p w:rsidR="00034027" w:rsidRPr="00034027" w:rsidRDefault="00034027" w:rsidP="00034027">
      <w:pPr>
        <w:spacing w:before="156" w:after="156"/>
        <w:ind w:firstLine="480"/>
        <w:rPr>
          <w:sz w:val="24"/>
          <w:szCs w:val="24"/>
        </w:rPr>
      </w:pPr>
    </w:p>
    <w:p w:rsidR="00034027" w:rsidRPr="00034027" w:rsidRDefault="00034027" w:rsidP="00034027">
      <w:pPr>
        <w:tabs>
          <w:tab w:val="left" w:pos="2340"/>
          <w:tab w:val="left" w:pos="6165"/>
        </w:tabs>
        <w:spacing w:before="156" w:after="156"/>
        <w:ind w:firstLine="480"/>
        <w:rPr>
          <w:sz w:val="24"/>
          <w:szCs w:val="24"/>
        </w:rPr>
      </w:pPr>
      <w:r w:rsidRPr="00034027">
        <w:rPr>
          <w:sz w:val="24"/>
          <w:szCs w:val="24"/>
        </w:rPr>
        <w:tab/>
      </w:r>
    </w:p>
    <w:p w:rsidR="00034027" w:rsidRPr="00034027" w:rsidRDefault="00034027" w:rsidP="00034027">
      <w:pPr>
        <w:spacing w:before="156" w:after="156"/>
        <w:ind w:firstLine="480"/>
        <w:rPr>
          <w:sz w:val="24"/>
          <w:szCs w:val="24"/>
        </w:rPr>
      </w:pPr>
    </w:p>
    <w:p w:rsidR="00034027" w:rsidRPr="00034027" w:rsidRDefault="00034027" w:rsidP="00034027">
      <w:pPr>
        <w:spacing w:before="156" w:after="156"/>
        <w:ind w:firstLine="480"/>
        <w:rPr>
          <w:sz w:val="24"/>
          <w:szCs w:val="24"/>
        </w:rPr>
      </w:pPr>
    </w:p>
    <w:p w:rsidR="00034027" w:rsidRPr="00034027" w:rsidRDefault="00034027" w:rsidP="00034027">
      <w:pPr>
        <w:tabs>
          <w:tab w:val="left" w:pos="5820"/>
        </w:tabs>
        <w:spacing w:before="156" w:after="156"/>
        <w:ind w:firstLine="480"/>
        <w:rPr>
          <w:sz w:val="24"/>
          <w:szCs w:val="24"/>
        </w:rPr>
      </w:pPr>
      <w:r w:rsidRPr="00034027">
        <w:rPr>
          <w:sz w:val="24"/>
          <w:szCs w:val="24"/>
        </w:rPr>
        <w:tab/>
      </w:r>
      <w:r w:rsidRPr="00034027">
        <w:rPr>
          <w:sz w:val="24"/>
          <w:szCs w:val="24"/>
        </w:rPr>
        <w:t>天风证券股份有限公司</w:t>
      </w:r>
    </w:p>
    <w:p w:rsidR="00034027" w:rsidRDefault="00034027" w:rsidP="00034027">
      <w:pPr>
        <w:tabs>
          <w:tab w:val="left" w:pos="5820"/>
        </w:tabs>
        <w:spacing w:before="156" w:after="156"/>
        <w:ind w:firstLine="480"/>
      </w:pPr>
    </w:p>
    <w:p w:rsidR="00034027" w:rsidRPr="00034027" w:rsidRDefault="00034027" w:rsidP="00034027">
      <w:pPr>
        <w:tabs>
          <w:tab w:val="left" w:pos="5820"/>
        </w:tabs>
        <w:spacing w:before="156" w:after="156"/>
        <w:ind w:firstLine="480"/>
        <w:jc w:val="right"/>
        <w:rPr>
          <w:sz w:val="24"/>
          <w:szCs w:val="24"/>
        </w:rPr>
      </w:pPr>
      <w:r w:rsidRPr="00034027">
        <w:rPr>
          <w:sz w:val="24"/>
          <w:szCs w:val="24"/>
        </w:rPr>
        <w:t>年</w:t>
      </w:r>
      <w:r w:rsidR="00DC7E84">
        <w:rPr>
          <w:rFonts w:hint="eastAsia"/>
          <w:sz w:val="24"/>
          <w:szCs w:val="24"/>
        </w:rPr>
        <w:t xml:space="preserve"> </w:t>
      </w:r>
      <w:r w:rsidR="00DC7E84">
        <w:rPr>
          <w:sz w:val="24"/>
          <w:szCs w:val="24"/>
        </w:rPr>
        <w:t xml:space="preserve">       </w:t>
      </w:r>
      <w:r w:rsidRPr="00034027">
        <w:rPr>
          <w:rFonts w:hint="eastAsia"/>
          <w:sz w:val="24"/>
          <w:szCs w:val="24"/>
        </w:rPr>
        <w:t>月</w:t>
      </w:r>
      <w:r w:rsidR="00DC7E84">
        <w:rPr>
          <w:rFonts w:hint="eastAsia"/>
          <w:sz w:val="24"/>
          <w:szCs w:val="24"/>
        </w:rPr>
        <w:t xml:space="preserve"> </w:t>
      </w:r>
      <w:r w:rsidR="00DC7E84">
        <w:rPr>
          <w:sz w:val="24"/>
          <w:szCs w:val="24"/>
        </w:rPr>
        <w:t xml:space="preserve">      </w:t>
      </w:r>
      <w:r w:rsidRPr="00034027">
        <w:rPr>
          <w:rFonts w:hint="eastAsia"/>
          <w:sz w:val="24"/>
          <w:szCs w:val="24"/>
        </w:rPr>
        <w:t>日</w:t>
      </w:r>
    </w:p>
    <w:p w:rsidR="006438AC" w:rsidRPr="00034027" w:rsidRDefault="006438AC" w:rsidP="001802CD">
      <w:pPr>
        <w:pStyle w:val="a4"/>
        <w:spacing w:beforeLines="50" w:before="156" w:afterLines="50" w:after="156" w:line="360" w:lineRule="auto"/>
        <w:ind w:left="420" w:right="839" w:firstLineChars="0" w:firstLine="0"/>
        <w:rPr>
          <w:rFonts w:cs="Times New Roman"/>
          <w:sz w:val="24"/>
          <w:szCs w:val="24"/>
        </w:rPr>
      </w:pPr>
    </w:p>
    <w:sectPr w:rsidR="006438AC" w:rsidRPr="000340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47" w:rsidRDefault="00D14547" w:rsidP="00034027">
      <w:r>
        <w:separator/>
      </w:r>
    </w:p>
  </w:endnote>
  <w:endnote w:type="continuationSeparator" w:id="0">
    <w:p w:rsidR="00D14547" w:rsidRDefault="00D14547" w:rsidP="0003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287" w:usb1="38CF7CFA" w:usb2="00000016" w:usb3="00000000" w:csb0="0004000F" w:csb1="00000000"/>
  </w:font>
  <w:font w:name="等线">
    <w:altName w:val="Arial Unicode MS"/>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47" w:rsidRDefault="00D14547" w:rsidP="00034027">
      <w:r>
        <w:separator/>
      </w:r>
    </w:p>
  </w:footnote>
  <w:footnote w:type="continuationSeparator" w:id="0">
    <w:p w:rsidR="00D14547" w:rsidRDefault="00D14547" w:rsidP="0003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10EF"/>
    <w:multiLevelType w:val="hybridMultilevel"/>
    <w:tmpl w:val="439C2DE8"/>
    <w:lvl w:ilvl="0" w:tplc="2102CA9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A7"/>
    <w:rsid w:val="00024B27"/>
    <w:rsid w:val="00032116"/>
    <w:rsid w:val="00034027"/>
    <w:rsid w:val="0006120D"/>
    <w:rsid w:val="00072139"/>
    <w:rsid w:val="00087E46"/>
    <w:rsid w:val="000B1E2C"/>
    <w:rsid w:val="000F2851"/>
    <w:rsid w:val="001277A4"/>
    <w:rsid w:val="001802CD"/>
    <w:rsid w:val="00182F0A"/>
    <w:rsid w:val="001965F8"/>
    <w:rsid w:val="001B4A23"/>
    <w:rsid w:val="00223784"/>
    <w:rsid w:val="00253299"/>
    <w:rsid w:val="00270607"/>
    <w:rsid w:val="002C5AC5"/>
    <w:rsid w:val="002F528B"/>
    <w:rsid w:val="003066A5"/>
    <w:rsid w:val="003B7C9A"/>
    <w:rsid w:val="00421B07"/>
    <w:rsid w:val="00422AF1"/>
    <w:rsid w:val="004A20A3"/>
    <w:rsid w:val="004C56C3"/>
    <w:rsid w:val="004F281C"/>
    <w:rsid w:val="0052335B"/>
    <w:rsid w:val="005568A1"/>
    <w:rsid w:val="005C2610"/>
    <w:rsid w:val="00624284"/>
    <w:rsid w:val="00641379"/>
    <w:rsid w:val="006438AC"/>
    <w:rsid w:val="00670027"/>
    <w:rsid w:val="006B74E6"/>
    <w:rsid w:val="006F58F5"/>
    <w:rsid w:val="00705A87"/>
    <w:rsid w:val="00716687"/>
    <w:rsid w:val="00744FEC"/>
    <w:rsid w:val="007621FF"/>
    <w:rsid w:val="007A402E"/>
    <w:rsid w:val="007A7844"/>
    <w:rsid w:val="007C6FC3"/>
    <w:rsid w:val="008B729F"/>
    <w:rsid w:val="008C5FDA"/>
    <w:rsid w:val="008E36A7"/>
    <w:rsid w:val="008F585E"/>
    <w:rsid w:val="00923EDA"/>
    <w:rsid w:val="00945DC7"/>
    <w:rsid w:val="009A5C21"/>
    <w:rsid w:val="009B7013"/>
    <w:rsid w:val="009C3068"/>
    <w:rsid w:val="00A10418"/>
    <w:rsid w:val="00A1599C"/>
    <w:rsid w:val="00AB13EC"/>
    <w:rsid w:val="00C16DC2"/>
    <w:rsid w:val="00C20346"/>
    <w:rsid w:val="00C77C1F"/>
    <w:rsid w:val="00CA4664"/>
    <w:rsid w:val="00CC6E66"/>
    <w:rsid w:val="00CD564D"/>
    <w:rsid w:val="00D1258D"/>
    <w:rsid w:val="00D14547"/>
    <w:rsid w:val="00D238B8"/>
    <w:rsid w:val="00DA0C18"/>
    <w:rsid w:val="00DA5768"/>
    <w:rsid w:val="00DC7E84"/>
    <w:rsid w:val="00DD5CA5"/>
    <w:rsid w:val="00E47722"/>
    <w:rsid w:val="00E56C63"/>
    <w:rsid w:val="00E8284F"/>
    <w:rsid w:val="00F462FD"/>
    <w:rsid w:val="00FE42A4"/>
    <w:rsid w:val="00FF269A"/>
    <w:rsid w:val="00FF3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24B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58D"/>
    <w:pPr>
      <w:ind w:firstLineChars="200" w:firstLine="420"/>
    </w:pPr>
  </w:style>
  <w:style w:type="paragraph" w:styleId="a5">
    <w:name w:val="Subtitle"/>
    <w:basedOn w:val="a"/>
    <w:next w:val="a"/>
    <w:link w:val="Char"/>
    <w:uiPriority w:val="11"/>
    <w:qFormat/>
    <w:rsid w:val="00024B27"/>
    <w:pPr>
      <w:spacing w:before="240" w:after="60" w:line="312" w:lineRule="auto"/>
      <w:jc w:val="center"/>
      <w:outlineLvl w:val="1"/>
    </w:pPr>
    <w:rPr>
      <w:rFonts w:asciiTheme="minorHAnsi" w:eastAsiaTheme="minorEastAsia" w:hAnsiTheme="minorHAnsi"/>
      <w:b/>
      <w:bCs/>
      <w:kern w:val="28"/>
      <w:sz w:val="32"/>
      <w:szCs w:val="32"/>
    </w:rPr>
  </w:style>
  <w:style w:type="character" w:customStyle="1" w:styleId="Char">
    <w:name w:val="副标题 Char"/>
    <w:basedOn w:val="a0"/>
    <w:link w:val="a5"/>
    <w:uiPriority w:val="11"/>
    <w:rsid w:val="00024B27"/>
    <w:rPr>
      <w:rFonts w:asciiTheme="minorHAnsi" w:eastAsiaTheme="minorEastAsia" w:hAnsiTheme="minorHAnsi"/>
      <w:b/>
      <w:bCs/>
      <w:kern w:val="28"/>
      <w:sz w:val="32"/>
      <w:szCs w:val="32"/>
    </w:rPr>
  </w:style>
  <w:style w:type="paragraph" w:styleId="a6">
    <w:name w:val="Title"/>
    <w:basedOn w:val="a"/>
    <w:next w:val="a"/>
    <w:link w:val="Char0"/>
    <w:uiPriority w:val="10"/>
    <w:qFormat/>
    <w:rsid w:val="00024B27"/>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标题 Char"/>
    <w:basedOn w:val="a0"/>
    <w:link w:val="a6"/>
    <w:uiPriority w:val="10"/>
    <w:rsid w:val="00024B27"/>
    <w:rPr>
      <w:rFonts w:asciiTheme="majorHAnsi" w:eastAsiaTheme="majorEastAsia" w:hAnsiTheme="majorHAnsi" w:cstheme="majorBidi"/>
      <w:b/>
      <w:bCs/>
      <w:sz w:val="32"/>
      <w:szCs w:val="32"/>
    </w:rPr>
  </w:style>
  <w:style w:type="character" w:customStyle="1" w:styleId="2Char">
    <w:name w:val="标题 2 Char"/>
    <w:basedOn w:val="a0"/>
    <w:link w:val="2"/>
    <w:uiPriority w:val="9"/>
    <w:rsid w:val="00024B27"/>
    <w:rPr>
      <w:rFonts w:asciiTheme="majorHAnsi" w:eastAsiaTheme="majorEastAsia" w:hAnsiTheme="majorHAnsi" w:cstheme="majorBidi"/>
      <w:b/>
      <w:bCs/>
      <w:sz w:val="32"/>
      <w:szCs w:val="32"/>
    </w:rPr>
  </w:style>
  <w:style w:type="paragraph" w:styleId="a7">
    <w:name w:val="No Spacing"/>
    <w:uiPriority w:val="1"/>
    <w:qFormat/>
    <w:rsid w:val="00024B27"/>
    <w:pPr>
      <w:widowControl w:val="0"/>
      <w:jc w:val="both"/>
    </w:pPr>
  </w:style>
  <w:style w:type="paragraph" w:styleId="a8">
    <w:name w:val="header"/>
    <w:basedOn w:val="a"/>
    <w:link w:val="Char1"/>
    <w:uiPriority w:val="99"/>
    <w:unhideWhenUsed/>
    <w:rsid w:val="000340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034027"/>
    <w:rPr>
      <w:sz w:val="18"/>
      <w:szCs w:val="18"/>
    </w:rPr>
  </w:style>
  <w:style w:type="paragraph" w:styleId="a9">
    <w:name w:val="footer"/>
    <w:basedOn w:val="a"/>
    <w:link w:val="Char2"/>
    <w:uiPriority w:val="99"/>
    <w:unhideWhenUsed/>
    <w:rsid w:val="00034027"/>
    <w:pPr>
      <w:tabs>
        <w:tab w:val="center" w:pos="4153"/>
        <w:tab w:val="right" w:pos="8306"/>
      </w:tabs>
      <w:snapToGrid w:val="0"/>
      <w:jc w:val="left"/>
    </w:pPr>
    <w:rPr>
      <w:sz w:val="18"/>
      <w:szCs w:val="18"/>
    </w:rPr>
  </w:style>
  <w:style w:type="character" w:customStyle="1" w:styleId="Char2">
    <w:name w:val="页脚 Char"/>
    <w:basedOn w:val="a0"/>
    <w:link w:val="a9"/>
    <w:uiPriority w:val="99"/>
    <w:rsid w:val="00034027"/>
    <w:rPr>
      <w:sz w:val="18"/>
      <w:szCs w:val="18"/>
    </w:rPr>
  </w:style>
  <w:style w:type="character" w:styleId="aa">
    <w:name w:val="annotation reference"/>
    <w:basedOn w:val="a0"/>
    <w:uiPriority w:val="99"/>
    <w:semiHidden/>
    <w:unhideWhenUsed/>
    <w:rsid w:val="00DC7E84"/>
    <w:rPr>
      <w:sz w:val="21"/>
      <w:szCs w:val="21"/>
    </w:rPr>
  </w:style>
  <w:style w:type="paragraph" w:styleId="ab">
    <w:name w:val="annotation text"/>
    <w:basedOn w:val="a"/>
    <w:link w:val="Char3"/>
    <w:uiPriority w:val="99"/>
    <w:semiHidden/>
    <w:unhideWhenUsed/>
    <w:rsid w:val="00DC7E84"/>
    <w:pPr>
      <w:jc w:val="left"/>
    </w:pPr>
  </w:style>
  <w:style w:type="character" w:customStyle="1" w:styleId="Char3">
    <w:name w:val="批注文字 Char"/>
    <w:basedOn w:val="a0"/>
    <w:link w:val="ab"/>
    <w:uiPriority w:val="99"/>
    <w:semiHidden/>
    <w:rsid w:val="00DC7E84"/>
  </w:style>
  <w:style w:type="paragraph" w:styleId="ac">
    <w:name w:val="annotation subject"/>
    <w:basedOn w:val="ab"/>
    <w:next w:val="ab"/>
    <w:link w:val="Char4"/>
    <w:uiPriority w:val="99"/>
    <w:semiHidden/>
    <w:unhideWhenUsed/>
    <w:rsid w:val="00DC7E84"/>
    <w:rPr>
      <w:b/>
      <w:bCs/>
    </w:rPr>
  </w:style>
  <w:style w:type="character" w:customStyle="1" w:styleId="Char4">
    <w:name w:val="批注主题 Char"/>
    <w:basedOn w:val="Char3"/>
    <w:link w:val="ac"/>
    <w:uiPriority w:val="99"/>
    <w:semiHidden/>
    <w:rsid w:val="00DC7E84"/>
    <w:rPr>
      <w:b/>
      <w:bCs/>
    </w:rPr>
  </w:style>
  <w:style w:type="paragraph" w:styleId="ad">
    <w:name w:val="Balloon Text"/>
    <w:basedOn w:val="a"/>
    <w:link w:val="Char5"/>
    <w:uiPriority w:val="99"/>
    <w:semiHidden/>
    <w:unhideWhenUsed/>
    <w:rsid w:val="00DC7E84"/>
    <w:rPr>
      <w:sz w:val="18"/>
      <w:szCs w:val="18"/>
    </w:rPr>
  </w:style>
  <w:style w:type="character" w:customStyle="1" w:styleId="Char5">
    <w:name w:val="批注框文本 Char"/>
    <w:basedOn w:val="a0"/>
    <w:link w:val="ad"/>
    <w:uiPriority w:val="99"/>
    <w:semiHidden/>
    <w:rsid w:val="00DC7E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24B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58D"/>
    <w:pPr>
      <w:ind w:firstLineChars="200" w:firstLine="420"/>
    </w:pPr>
  </w:style>
  <w:style w:type="paragraph" w:styleId="a5">
    <w:name w:val="Subtitle"/>
    <w:basedOn w:val="a"/>
    <w:next w:val="a"/>
    <w:link w:val="Char"/>
    <w:uiPriority w:val="11"/>
    <w:qFormat/>
    <w:rsid w:val="00024B27"/>
    <w:pPr>
      <w:spacing w:before="240" w:after="60" w:line="312" w:lineRule="auto"/>
      <w:jc w:val="center"/>
      <w:outlineLvl w:val="1"/>
    </w:pPr>
    <w:rPr>
      <w:rFonts w:asciiTheme="minorHAnsi" w:eastAsiaTheme="minorEastAsia" w:hAnsiTheme="minorHAnsi"/>
      <w:b/>
      <w:bCs/>
      <w:kern w:val="28"/>
      <w:sz w:val="32"/>
      <w:szCs w:val="32"/>
    </w:rPr>
  </w:style>
  <w:style w:type="character" w:customStyle="1" w:styleId="Char">
    <w:name w:val="副标题 Char"/>
    <w:basedOn w:val="a0"/>
    <w:link w:val="a5"/>
    <w:uiPriority w:val="11"/>
    <w:rsid w:val="00024B27"/>
    <w:rPr>
      <w:rFonts w:asciiTheme="minorHAnsi" w:eastAsiaTheme="minorEastAsia" w:hAnsiTheme="minorHAnsi"/>
      <w:b/>
      <w:bCs/>
      <w:kern w:val="28"/>
      <w:sz w:val="32"/>
      <w:szCs w:val="32"/>
    </w:rPr>
  </w:style>
  <w:style w:type="paragraph" w:styleId="a6">
    <w:name w:val="Title"/>
    <w:basedOn w:val="a"/>
    <w:next w:val="a"/>
    <w:link w:val="Char0"/>
    <w:uiPriority w:val="10"/>
    <w:qFormat/>
    <w:rsid w:val="00024B27"/>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标题 Char"/>
    <w:basedOn w:val="a0"/>
    <w:link w:val="a6"/>
    <w:uiPriority w:val="10"/>
    <w:rsid w:val="00024B27"/>
    <w:rPr>
      <w:rFonts w:asciiTheme="majorHAnsi" w:eastAsiaTheme="majorEastAsia" w:hAnsiTheme="majorHAnsi" w:cstheme="majorBidi"/>
      <w:b/>
      <w:bCs/>
      <w:sz w:val="32"/>
      <w:szCs w:val="32"/>
    </w:rPr>
  </w:style>
  <w:style w:type="character" w:customStyle="1" w:styleId="2Char">
    <w:name w:val="标题 2 Char"/>
    <w:basedOn w:val="a0"/>
    <w:link w:val="2"/>
    <w:uiPriority w:val="9"/>
    <w:rsid w:val="00024B27"/>
    <w:rPr>
      <w:rFonts w:asciiTheme="majorHAnsi" w:eastAsiaTheme="majorEastAsia" w:hAnsiTheme="majorHAnsi" w:cstheme="majorBidi"/>
      <w:b/>
      <w:bCs/>
      <w:sz w:val="32"/>
      <w:szCs w:val="32"/>
    </w:rPr>
  </w:style>
  <w:style w:type="paragraph" w:styleId="a7">
    <w:name w:val="No Spacing"/>
    <w:uiPriority w:val="1"/>
    <w:qFormat/>
    <w:rsid w:val="00024B27"/>
    <w:pPr>
      <w:widowControl w:val="0"/>
      <w:jc w:val="both"/>
    </w:pPr>
  </w:style>
  <w:style w:type="paragraph" w:styleId="a8">
    <w:name w:val="header"/>
    <w:basedOn w:val="a"/>
    <w:link w:val="Char1"/>
    <w:uiPriority w:val="99"/>
    <w:unhideWhenUsed/>
    <w:rsid w:val="000340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034027"/>
    <w:rPr>
      <w:sz w:val="18"/>
      <w:szCs w:val="18"/>
    </w:rPr>
  </w:style>
  <w:style w:type="paragraph" w:styleId="a9">
    <w:name w:val="footer"/>
    <w:basedOn w:val="a"/>
    <w:link w:val="Char2"/>
    <w:uiPriority w:val="99"/>
    <w:unhideWhenUsed/>
    <w:rsid w:val="00034027"/>
    <w:pPr>
      <w:tabs>
        <w:tab w:val="center" w:pos="4153"/>
        <w:tab w:val="right" w:pos="8306"/>
      </w:tabs>
      <w:snapToGrid w:val="0"/>
      <w:jc w:val="left"/>
    </w:pPr>
    <w:rPr>
      <w:sz w:val="18"/>
      <w:szCs w:val="18"/>
    </w:rPr>
  </w:style>
  <w:style w:type="character" w:customStyle="1" w:styleId="Char2">
    <w:name w:val="页脚 Char"/>
    <w:basedOn w:val="a0"/>
    <w:link w:val="a9"/>
    <w:uiPriority w:val="99"/>
    <w:rsid w:val="00034027"/>
    <w:rPr>
      <w:sz w:val="18"/>
      <w:szCs w:val="18"/>
    </w:rPr>
  </w:style>
  <w:style w:type="character" w:styleId="aa">
    <w:name w:val="annotation reference"/>
    <w:basedOn w:val="a0"/>
    <w:uiPriority w:val="99"/>
    <w:semiHidden/>
    <w:unhideWhenUsed/>
    <w:rsid w:val="00DC7E84"/>
    <w:rPr>
      <w:sz w:val="21"/>
      <w:szCs w:val="21"/>
    </w:rPr>
  </w:style>
  <w:style w:type="paragraph" w:styleId="ab">
    <w:name w:val="annotation text"/>
    <w:basedOn w:val="a"/>
    <w:link w:val="Char3"/>
    <w:uiPriority w:val="99"/>
    <w:semiHidden/>
    <w:unhideWhenUsed/>
    <w:rsid w:val="00DC7E84"/>
    <w:pPr>
      <w:jc w:val="left"/>
    </w:pPr>
  </w:style>
  <w:style w:type="character" w:customStyle="1" w:styleId="Char3">
    <w:name w:val="批注文字 Char"/>
    <w:basedOn w:val="a0"/>
    <w:link w:val="ab"/>
    <w:uiPriority w:val="99"/>
    <w:semiHidden/>
    <w:rsid w:val="00DC7E84"/>
  </w:style>
  <w:style w:type="paragraph" w:styleId="ac">
    <w:name w:val="annotation subject"/>
    <w:basedOn w:val="ab"/>
    <w:next w:val="ab"/>
    <w:link w:val="Char4"/>
    <w:uiPriority w:val="99"/>
    <w:semiHidden/>
    <w:unhideWhenUsed/>
    <w:rsid w:val="00DC7E84"/>
    <w:rPr>
      <w:b/>
      <w:bCs/>
    </w:rPr>
  </w:style>
  <w:style w:type="character" w:customStyle="1" w:styleId="Char4">
    <w:name w:val="批注主题 Char"/>
    <w:basedOn w:val="Char3"/>
    <w:link w:val="ac"/>
    <w:uiPriority w:val="99"/>
    <w:semiHidden/>
    <w:rsid w:val="00DC7E84"/>
    <w:rPr>
      <w:b/>
      <w:bCs/>
    </w:rPr>
  </w:style>
  <w:style w:type="paragraph" w:styleId="ad">
    <w:name w:val="Balloon Text"/>
    <w:basedOn w:val="a"/>
    <w:link w:val="Char5"/>
    <w:uiPriority w:val="99"/>
    <w:semiHidden/>
    <w:unhideWhenUsed/>
    <w:rsid w:val="00DC7E84"/>
    <w:rPr>
      <w:sz w:val="18"/>
      <w:szCs w:val="18"/>
    </w:rPr>
  </w:style>
  <w:style w:type="character" w:customStyle="1" w:styleId="Char5">
    <w:name w:val="批注框文本 Char"/>
    <w:basedOn w:val="a0"/>
    <w:link w:val="ad"/>
    <w:uiPriority w:val="99"/>
    <w:semiHidden/>
    <w:rsid w:val="00DC7E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5</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霍一飞</dc:creator>
  <cp:keywords/>
  <dc:description/>
  <cp:lastModifiedBy>刘杨</cp:lastModifiedBy>
  <cp:revision>33</cp:revision>
  <dcterms:created xsi:type="dcterms:W3CDTF">2018-03-01T02:05:00Z</dcterms:created>
  <dcterms:modified xsi:type="dcterms:W3CDTF">2019-04-28T15:32:00Z</dcterms:modified>
</cp:coreProperties>
</file>